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7B5CAD" w14:paraId="7B6A3888" w14:textId="77777777">
        <w:trPr>
          <w:trHeight w:hRule="exact" w:val="154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48A7A" w14:textId="77777777" w:rsidR="007B5CAD" w:rsidRDefault="00D64311">
            <w:pPr>
              <w:pStyle w:val="BodyA"/>
            </w:pPr>
            <w:r>
              <w:rPr>
                <w:rFonts w:ascii="Arial" w:eastAsia="Arial" w:hAnsi="Arial" w:cs="Arial"/>
                <w:noProof/>
                <w:sz w:val="36"/>
                <w:szCs w:val="36"/>
                <w:lang w:val="en-US"/>
              </w:rPr>
              <w:drawing>
                <wp:inline distT="0" distB="0" distL="0" distR="0" wp14:anchorId="2F254341" wp14:editId="4391E097">
                  <wp:extent cx="1139556" cy="966343"/>
                  <wp:effectExtent l="0" t="0" r="0" b="0"/>
                  <wp:docPr id="1073741828" name="officeArt object" descr="CTT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CTT Logo" descr="CTT 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556" cy="9663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13C11" w14:textId="77777777" w:rsidR="007B5CAD" w:rsidRDefault="00D64311">
            <w:pPr>
              <w:pStyle w:val="Heading"/>
            </w:pPr>
            <w:r>
              <w:rPr>
                <w:sz w:val="48"/>
                <w:szCs w:val="48"/>
              </w:rPr>
              <w:t>Risk Assessment</w:t>
            </w:r>
          </w:p>
        </w:tc>
      </w:tr>
      <w:tr w:rsidR="007B5CAD" w14:paraId="6D965AF5" w14:textId="77777777">
        <w:trPr>
          <w:trHeight w:hRule="exact" w:val="2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7A9E0" w14:textId="77777777" w:rsidR="007B5CAD" w:rsidRDefault="007B5CAD">
            <w:pPr>
              <w:pStyle w:val="BodyA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020CC295" w14:textId="77777777" w:rsidR="007B5CAD" w:rsidRDefault="00D64311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 xml:space="preserve">Course/Road(s) </w:t>
            </w:r>
            <w:proofErr w:type="gramStart"/>
            <w:r>
              <w:rPr>
                <w:rFonts w:ascii="Arial" w:hAnsi="Arial"/>
                <w:b/>
                <w:bCs/>
                <w:lang w:val="en-US"/>
              </w:rPr>
              <w:t>Assessed:B</w:t>
            </w:r>
            <w:proofErr w:type="gramEnd"/>
            <w:r>
              <w:rPr>
                <w:rFonts w:ascii="Arial" w:hAnsi="Arial"/>
                <w:b/>
                <w:bCs/>
                <w:lang w:val="en-US"/>
              </w:rPr>
              <w:t>9010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7731" w14:textId="2A5FA423" w:rsidR="007B5CAD" w:rsidRDefault="00D64311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 xml:space="preserve">  Course: </w:t>
            </w:r>
            <w:r w:rsidR="00181B86">
              <w:rPr>
                <w:rFonts w:ascii="Arial" w:hAnsi="Arial"/>
                <w:b/>
                <w:bCs/>
                <w:lang w:val="en-US"/>
              </w:rPr>
              <w:t xml:space="preserve">WN17/02 </w:t>
            </w:r>
            <w:r>
              <w:rPr>
                <w:rFonts w:ascii="Arial" w:hAnsi="Arial"/>
                <w:b/>
                <w:bCs/>
                <w:lang w:val="en-US"/>
              </w:rPr>
              <w:t>Edinvale Hilly 17 miles</w:t>
            </w:r>
          </w:p>
        </w:tc>
      </w:tr>
      <w:tr w:rsidR="007B5CAD" w14:paraId="2ADD09A6" w14:textId="77777777">
        <w:trPr>
          <w:trHeight w:hRule="exact" w:val="2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C56C6" w14:textId="77777777" w:rsidR="007B5CAD" w:rsidRDefault="007B5CAD">
            <w:pPr>
              <w:pStyle w:val="Heading2"/>
              <w:rPr>
                <w:b/>
                <w:bCs/>
                <w:sz w:val="20"/>
                <w:szCs w:val="20"/>
                <w:lang w:val="en-US"/>
              </w:rPr>
            </w:pPr>
          </w:p>
          <w:p w14:paraId="0C09C7D1" w14:textId="77777777" w:rsidR="007B5CAD" w:rsidRDefault="00D64311">
            <w:pPr>
              <w:pStyle w:val="Heading2"/>
            </w:pPr>
            <w:r>
              <w:rPr>
                <w:b/>
                <w:bCs/>
                <w:sz w:val="20"/>
                <w:szCs w:val="20"/>
                <w:lang w:val="en-US"/>
              </w:rPr>
              <w:t>Date of Assessment/Review: 6-May-2021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36741" w14:textId="77777777" w:rsidR="007B5CAD" w:rsidRDefault="00D64311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>Name of Assessor: Alan White</w:t>
            </w:r>
          </w:p>
        </w:tc>
      </w:tr>
    </w:tbl>
    <w:p w14:paraId="7CC7E178" w14:textId="77777777" w:rsidR="007B5CAD" w:rsidRDefault="007B5CAD">
      <w:pPr>
        <w:pStyle w:val="Body"/>
        <w:widowControl w:val="0"/>
        <w:ind w:left="108" w:hanging="108"/>
      </w:pPr>
    </w:p>
    <w:p w14:paraId="1B21B354" w14:textId="77777777" w:rsidR="007B5CAD" w:rsidRDefault="007B5CAD">
      <w:pPr>
        <w:pStyle w:val="BodyA"/>
        <w:widowControl w:val="0"/>
      </w:pPr>
    </w:p>
    <w:p w14:paraId="76E9655E" w14:textId="77777777" w:rsidR="007B5CAD" w:rsidRDefault="007B5CAD">
      <w:pPr>
        <w:pStyle w:val="BodyA"/>
        <w:rPr>
          <w:rFonts w:ascii="Arial" w:eastAsia="Arial" w:hAnsi="Arial" w:cs="Arial"/>
          <w:sz w:val="36"/>
          <w:szCs w:val="36"/>
        </w:rPr>
      </w:pPr>
    </w:p>
    <w:p w14:paraId="72E2CEC4" w14:textId="77777777" w:rsidR="007B5CAD" w:rsidRDefault="007B5CAD">
      <w:pPr>
        <w:pStyle w:val="BodyA"/>
        <w:rPr>
          <w:rFonts w:ascii="Arial" w:eastAsia="Arial" w:hAnsi="Arial" w:cs="Arial"/>
          <w:sz w:val="36"/>
          <w:szCs w:val="36"/>
        </w:rPr>
      </w:pPr>
    </w:p>
    <w:tbl>
      <w:tblPr>
        <w:tblW w:w="10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20"/>
      </w:tblGrid>
      <w:tr w:rsidR="007B5CAD" w14:paraId="3700B001" w14:textId="77777777">
        <w:trPr>
          <w:trHeight w:val="1763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32CB8" w14:textId="77777777" w:rsidR="007B5CAD" w:rsidRDefault="007B5CAD">
            <w:pPr>
              <w:pStyle w:val="BodyA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1A773788" w14:textId="77777777" w:rsidR="007B5CAD" w:rsidRDefault="00D64311">
            <w:pPr>
              <w:pStyle w:val="BodyA"/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shd w:val="clear" w:color="auto" w:fill="FFFFFF"/>
                <w:lang w:val="en-US"/>
              </w:rPr>
              <w:t xml:space="preserve">Course Description:  </w:t>
            </w:r>
          </w:p>
          <w:p w14:paraId="6A9A2815" w14:textId="77777777" w:rsidR="007B5CAD" w:rsidRDefault="00D64311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 xml:space="preserve">Start on B9010 at Second Entrance to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Leanchoil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Hospital.  Proceed East </w:t>
            </w:r>
            <w:r>
              <w:rPr>
                <w:rFonts w:ascii="Arial" w:hAnsi="Arial"/>
                <w:b/>
                <w:bCs/>
                <w:lang w:val="en-US"/>
              </w:rPr>
              <w:t xml:space="preserve">on the B9010 through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Rafford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and Mains of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Craigmill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to First Left Turn at the top of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Craigmill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Climb (5.5-mile).  Proceed over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Edinvale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to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Pluscarden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War Memorial and Second Left Turn (8.8-mile).  Follow road past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Pluscarden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Abby and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Hazelbank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to re-join B</w:t>
            </w:r>
            <w:r>
              <w:rPr>
                <w:rFonts w:ascii="Arial" w:hAnsi="Arial"/>
                <w:b/>
                <w:bCs/>
                <w:lang w:val="en-US"/>
              </w:rPr>
              <w:t xml:space="preserve">9010 (13.1-mile).  Turn Right onto B9010 and retrace through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Rafford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to Finish at Start (17-mile).</w:t>
            </w:r>
          </w:p>
        </w:tc>
      </w:tr>
    </w:tbl>
    <w:p w14:paraId="306CF24D" w14:textId="77777777" w:rsidR="007B5CAD" w:rsidRDefault="007B5CAD">
      <w:pPr>
        <w:pStyle w:val="BodyA"/>
        <w:widowControl w:val="0"/>
        <w:ind w:left="108" w:hanging="108"/>
        <w:rPr>
          <w:rFonts w:ascii="Arial" w:eastAsia="Arial" w:hAnsi="Arial" w:cs="Arial"/>
          <w:sz w:val="36"/>
          <w:szCs w:val="36"/>
        </w:rPr>
      </w:pPr>
    </w:p>
    <w:p w14:paraId="5E9848F1" w14:textId="77777777" w:rsidR="007B5CAD" w:rsidRDefault="007B5CAD">
      <w:pPr>
        <w:pStyle w:val="BodyA"/>
        <w:widowControl w:val="0"/>
        <w:rPr>
          <w:rFonts w:ascii="Arial" w:eastAsia="Arial" w:hAnsi="Arial" w:cs="Arial"/>
          <w:sz w:val="36"/>
          <w:szCs w:val="36"/>
        </w:rPr>
      </w:pPr>
    </w:p>
    <w:p w14:paraId="13331EA5" w14:textId="77777777" w:rsidR="007B5CAD" w:rsidRDefault="007B5CAD">
      <w:pPr>
        <w:pStyle w:val="BodyA"/>
        <w:rPr>
          <w:rFonts w:ascii="Arial" w:eastAsia="Arial" w:hAnsi="Arial" w:cs="Arial"/>
          <w:sz w:val="16"/>
          <w:szCs w:val="16"/>
        </w:rPr>
      </w:pPr>
    </w:p>
    <w:tbl>
      <w:tblPr>
        <w:tblW w:w="10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20"/>
      </w:tblGrid>
      <w:tr w:rsidR="007B5CAD" w14:paraId="1AE9C1A7" w14:textId="77777777">
        <w:trPr>
          <w:trHeight w:val="1113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524B" w14:textId="77777777" w:rsidR="007B5CAD" w:rsidRDefault="007B5CAD">
            <w:pPr>
              <w:pStyle w:val="BodyA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3800E37C" w14:textId="77777777" w:rsidR="007B5CAD" w:rsidRDefault="00D64311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-US"/>
              </w:rPr>
              <w:t>Traffic Flows:</w:t>
            </w:r>
            <w:r>
              <w:rPr>
                <w:rFonts w:ascii="Arial" w:hAnsi="Arial"/>
                <w:lang w:val="en-US"/>
              </w:rPr>
              <w:t xml:space="preserve"> Traffic is expected to be </w:t>
            </w:r>
            <w:proofErr w:type="gramStart"/>
            <w:r>
              <w:rPr>
                <w:rFonts w:ascii="Arial" w:hAnsi="Arial"/>
                <w:lang w:val="en-US"/>
              </w:rPr>
              <w:t>very light</w:t>
            </w:r>
            <w:proofErr w:type="gramEnd"/>
            <w:r>
              <w:rPr>
                <w:rFonts w:ascii="Arial" w:hAnsi="Arial"/>
                <w:lang w:val="en-US"/>
              </w:rPr>
              <w:t>. This is an evening event run over quiet country roads.</w:t>
            </w:r>
          </w:p>
          <w:p w14:paraId="1523D687" w14:textId="77777777" w:rsidR="007B5CAD" w:rsidRDefault="007B5CAD">
            <w:pPr>
              <w:pStyle w:val="BodyA"/>
            </w:pPr>
          </w:p>
        </w:tc>
      </w:tr>
    </w:tbl>
    <w:p w14:paraId="14B6D785" w14:textId="77777777" w:rsidR="007B5CAD" w:rsidRDefault="007B5CAD">
      <w:pPr>
        <w:pStyle w:val="BodyA"/>
        <w:widowControl w:val="0"/>
        <w:ind w:left="108" w:hanging="108"/>
        <w:rPr>
          <w:rFonts w:ascii="Arial" w:eastAsia="Arial" w:hAnsi="Arial" w:cs="Arial"/>
          <w:sz w:val="16"/>
          <w:szCs w:val="16"/>
        </w:rPr>
      </w:pPr>
    </w:p>
    <w:p w14:paraId="4576D777" w14:textId="77777777" w:rsidR="007B5CAD" w:rsidRDefault="007B5CAD">
      <w:pPr>
        <w:pStyle w:val="BodyA"/>
        <w:widowControl w:val="0"/>
        <w:rPr>
          <w:rFonts w:ascii="Arial" w:eastAsia="Arial" w:hAnsi="Arial" w:cs="Arial"/>
          <w:sz w:val="16"/>
          <w:szCs w:val="16"/>
        </w:rPr>
      </w:pPr>
    </w:p>
    <w:p w14:paraId="7B34DB60" w14:textId="77777777" w:rsidR="007B5CAD" w:rsidRDefault="007B5CAD">
      <w:pPr>
        <w:pStyle w:val="BodyA"/>
      </w:pPr>
    </w:p>
    <w:tbl>
      <w:tblPr>
        <w:tblW w:w="10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20"/>
      </w:tblGrid>
      <w:tr w:rsidR="007B5CAD" w14:paraId="5AC87CA9" w14:textId="77777777">
        <w:trPr>
          <w:trHeight w:val="893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0E856" w14:textId="77777777" w:rsidR="007B5CAD" w:rsidRDefault="007B5CAD">
            <w:pPr>
              <w:pStyle w:val="BodyA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2A6E0BD4" w14:textId="77777777" w:rsidR="007B5CAD" w:rsidRDefault="00D64311">
            <w:pPr>
              <w:pStyle w:val="BodyA"/>
            </w:pPr>
            <w:r>
              <w:rPr>
                <w:rFonts w:ascii="Arial" w:hAnsi="Arial"/>
                <w:b/>
                <w:bCs/>
                <w:lang w:val="en-US"/>
              </w:rPr>
              <w:t>Course/Event History: The course has been used for Open events for some 10 years, without a single adverse incident.</w:t>
            </w:r>
          </w:p>
        </w:tc>
      </w:tr>
    </w:tbl>
    <w:p w14:paraId="58634585" w14:textId="77777777" w:rsidR="007B5CAD" w:rsidRDefault="007B5CAD">
      <w:pPr>
        <w:pStyle w:val="BodyA"/>
        <w:widowControl w:val="0"/>
        <w:ind w:left="108" w:hanging="108"/>
      </w:pPr>
    </w:p>
    <w:p w14:paraId="736EEF42" w14:textId="77777777" w:rsidR="007B5CAD" w:rsidRDefault="007B5CAD">
      <w:pPr>
        <w:pStyle w:val="BodyA"/>
        <w:widowControl w:val="0"/>
      </w:pPr>
    </w:p>
    <w:p w14:paraId="01DD9F0E" w14:textId="77777777" w:rsidR="007B5CAD" w:rsidRDefault="007B5CAD">
      <w:pPr>
        <w:pStyle w:val="BodyA"/>
        <w:rPr>
          <w:rFonts w:ascii="Arial" w:eastAsia="Arial" w:hAnsi="Arial" w:cs="Arial"/>
          <w:sz w:val="36"/>
          <w:szCs w:val="36"/>
        </w:rPr>
      </w:pPr>
    </w:p>
    <w:p w14:paraId="2E2B9B1A" w14:textId="77777777" w:rsidR="007B5CAD" w:rsidRDefault="00D64311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Key Identified Risks</w:t>
      </w:r>
    </w:p>
    <w:p w14:paraId="59EA0512" w14:textId="77777777" w:rsidR="007B5CAD" w:rsidRDefault="007B5CAD">
      <w:pPr>
        <w:pStyle w:val="BodyA"/>
        <w:rPr>
          <w:rFonts w:ascii="Arial" w:eastAsia="Arial" w:hAnsi="Arial" w:cs="Arial"/>
          <w:sz w:val="36"/>
          <w:szCs w:val="36"/>
        </w:rPr>
      </w:pPr>
    </w:p>
    <w:p w14:paraId="01D15F1B" w14:textId="77777777" w:rsidR="007B5CAD" w:rsidRDefault="007B5CAD">
      <w:pPr>
        <w:pStyle w:val="BodyA"/>
        <w:widowControl w:val="0"/>
        <w:ind w:left="108" w:hanging="108"/>
        <w:jc w:val="center"/>
        <w:rPr>
          <w:rFonts w:ascii="Arial" w:eastAsia="Arial" w:hAnsi="Arial" w:cs="Arial"/>
          <w:sz w:val="36"/>
          <w:szCs w:val="36"/>
        </w:rPr>
      </w:pPr>
    </w:p>
    <w:tbl>
      <w:tblPr>
        <w:tblW w:w="100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66"/>
        <w:gridCol w:w="2330"/>
        <w:gridCol w:w="2331"/>
        <w:gridCol w:w="1645"/>
        <w:gridCol w:w="2708"/>
      </w:tblGrid>
      <w:tr w:rsidR="007B5CAD" w14:paraId="47EA6885" w14:textId="77777777">
        <w:trPr>
          <w:trHeight w:val="51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A40EF" w14:textId="77777777" w:rsidR="007B5CAD" w:rsidRDefault="00D64311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Distance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9FE85" w14:textId="77777777" w:rsidR="007B5CAD" w:rsidRDefault="00D64311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62229" w14:textId="77777777" w:rsidR="007B5CAD" w:rsidRDefault="00D64311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Identified Significant Risk/Hazards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63AC" w14:textId="77777777" w:rsidR="007B5CAD" w:rsidRDefault="00D64311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Level of Risk</w:t>
            </w:r>
            <w:r>
              <w:rPr>
                <w:rFonts w:ascii="Arial Unicode MS" w:eastAsia="Arial Unicode MS" w:hAnsi="Arial Unicode MS" w:cs="Arial Unicode MS"/>
                <w:lang w:val="en-US"/>
              </w:rPr>
              <w:br/>
            </w:r>
            <w:r>
              <w:rPr>
                <w:rFonts w:ascii="Arial" w:hAnsi="Arial"/>
                <w:b/>
                <w:bCs/>
                <w:lang w:val="en-US"/>
              </w:rPr>
              <w:t>Low/Med/High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A317" w14:textId="77777777" w:rsidR="007B5CAD" w:rsidRDefault="00D64311">
            <w:pPr>
              <w:pStyle w:val="Heading4"/>
            </w:pPr>
            <w:r>
              <w:t>Measures to reduce Risk</w:t>
            </w:r>
            <w:r>
              <w:rPr>
                <w:rFonts w:ascii="Arial Unicode MS" w:hAnsi="Arial Unicode MS"/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 xml:space="preserve">(if </w:t>
            </w:r>
            <w:r>
              <w:rPr>
                <w:b w:val="0"/>
                <w:bCs w:val="0"/>
              </w:rPr>
              <w:t>applicable)</w:t>
            </w:r>
          </w:p>
        </w:tc>
      </w:tr>
      <w:tr w:rsidR="007B5CAD" w14:paraId="16A3CA29" w14:textId="77777777">
        <w:trPr>
          <w:trHeight w:val="18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894E1" w14:textId="77777777" w:rsidR="007B5CAD" w:rsidRDefault="007B5CAD">
            <w:pPr>
              <w:pStyle w:val="BodyA"/>
              <w:rPr>
                <w:sz w:val="24"/>
                <w:szCs w:val="24"/>
                <w:lang w:val="en-US"/>
              </w:rPr>
            </w:pPr>
          </w:p>
          <w:p w14:paraId="7234380E" w14:textId="77777777" w:rsidR="007B5CAD" w:rsidRDefault="00D64311">
            <w:pPr>
              <w:pStyle w:val="BodyA"/>
            </w:pPr>
            <w:r>
              <w:rPr>
                <w:sz w:val="24"/>
                <w:szCs w:val="24"/>
                <w:lang w:val="en-US"/>
              </w:rPr>
              <w:t>0 miles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5364" w14:textId="77777777" w:rsidR="007B5CAD" w:rsidRDefault="007B5CAD">
            <w:pPr>
              <w:pStyle w:val="BodyA"/>
              <w:rPr>
                <w:sz w:val="24"/>
                <w:szCs w:val="24"/>
                <w:lang w:val="en-US"/>
              </w:rPr>
            </w:pPr>
          </w:p>
          <w:p w14:paraId="29270928" w14:textId="77777777" w:rsidR="007B5CAD" w:rsidRDefault="00D64311">
            <w:pPr>
              <w:pStyle w:val="BodyA"/>
            </w:pPr>
            <w:r>
              <w:rPr>
                <w:sz w:val="24"/>
                <w:szCs w:val="24"/>
                <w:lang w:val="en-US"/>
              </w:rPr>
              <w:t xml:space="preserve">START: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Start at 2nd entrance to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-US"/>
              </w:rPr>
              <w:t>Leanchoil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Hospital. (Hospital Closed)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1799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Competitors (C</w:t>
            </w:r>
            <w:proofErr w:type="gramStart"/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),  Officials</w:t>
            </w:r>
            <w:proofErr w:type="gramEnd"/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(O), Public (P)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14125" w14:textId="77777777" w:rsidR="007B5CAD" w:rsidRDefault="00D64311">
            <w:pPr>
              <w:pStyle w:val="Body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</w:t>
            </w:r>
          </w:p>
          <w:p w14:paraId="57DCE5E2" w14:textId="77777777" w:rsidR="007B5CAD" w:rsidRDefault="007B5CAD">
            <w:pPr>
              <w:pStyle w:val="BodyA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E6D8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Two race warning signs on approach to Start. All Officials/Marshals to wear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Hiviz</w:t>
            </w:r>
            <w:proofErr w:type="spellEnd"/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jackets. </w:t>
            </w:r>
          </w:p>
          <w:p w14:paraId="5683BAD8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Competitors waiting to start to stay </w:t>
            </w:r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off road.</w:t>
            </w:r>
          </w:p>
        </w:tc>
      </w:tr>
      <w:tr w:rsidR="007B5CAD" w14:paraId="0F1379A8" w14:textId="77777777">
        <w:trPr>
          <w:trHeight w:val="3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F4AA2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E41F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Junction on left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46BD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09375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BE55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Caution Cycle Event sign</w:t>
            </w:r>
          </w:p>
        </w:tc>
      </w:tr>
      <w:tr w:rsidR="007B5CAD" w14:paraId="2107DE22" w14:textId="77777777">
        <w:trPr>
          <w:trHeight w:val="3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CD09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0.6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CDC84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Junction on left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46C60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E7018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4507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Caution Cycle Event sign</w:t>
            </w:r>
          </w:p>
        </w:tc>
      </w:tr>
      <w:tr w:rsidR="007B5CAD" w14:paraId="647946A7" w14:textId="77777777">
        <w:trPr>
          <w:trHeight w:val="3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87DB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BDAA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Junction on left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A0C2E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2306D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BF23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Caution Cycle Event sign</w:t>
            </w:r>
          </w:p>
        </w:tc>
      </w:tr>
      <w:tr w:rsidR="007B5CAD" w14:paraId="199F8C12" w14:textId="77777777">
        <w:trPr>
          <w:trHeight w:val="3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86390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05E8F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Junction on right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86639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5D1E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F1B84" w14:textId="77777777" w:rsidR="007B5CAD" w:rsidRDefault="00D64311">
            <w:pPr>
              <w:spacing w:after="240" w:line="340" w:lineRule="atLeast"/>
            </w:pPr>
            <w:r>
              <w:rPr>
                <w:rFonts w:cs="Arial Unicode MS"/>
                <w:color w:val="000000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Caution Cycle Event sign</w:t>
            </w:r>
          </w:p>
        </w:tc>
      </w:tr>
      <w:tr w:rsidR="007B5CAD" w14:paraId="5F6882B3" w14:textId="77777777">
        <w:trPr>
          <w:trHeight w:val="3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D3E6C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06B56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Junction on right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7B44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F9BF2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6E40" w14:textId="77777777" w:rsidR="007B5CAD" w:rsidRDefault="00D64311">
            <w:pPr>
              <w:spacing w:after="240" w:line="340" w:lineRule="atLeast"/>
            </w:pPr>
            <w:r>
              <w:rPr>
                <w:rFonts w:cs="Arial Unicode MS"/>
                <w:color w:val="000000"/>
                <w:u w:color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Caution Cycle Event sign</w:t>
            </w:r>
          </w:p>
        </w:tc>
      </w:tr>
      <w:tr w:rsidR="007B5CAD" w14:paraId="177314BD" w14:textId="77777777">
        <w:trPr>
          <w:trHeight w:val="20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AEF55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C75B4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Junction on left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C74D4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C, O,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94FF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EC60" w14:textId="77777777" w:rsidR="007B5CAD" w:rsidRDefault="00D64311">
            <w:pPr>
              <w:spacing w:after="240" w:line="340" w:lineRule="atLeast"/>
            </w:pPr>
            <w:r>
              <w:rPr>
                <w:rFonts w:cs="Arial Unicode MS"/>
                <w:color w:val="000000"/>
                <w:u w:color="00000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Caution Cycle Event' Warning Sign 200m before and past Turn and All 3 Marshals to wear High Viz Jackets and one to have Red Flag. </w:t>
            </w:r>
          </w:p>
        </w:tc>
      </w:tr>
      <w:tr w:rsidR="007B5CAD" w14:paraId="03F1BE89" w14:textId="77777777">
        <w:trPr>
          <w:trHeight w:val="166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F65DC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38289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Sharp turn left.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3A4E6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C, O,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9F14E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B30F3" w14:textId="77777777" w:rsidR="007B5CAD" w:rsidRDefault="00D64311">
            <w:pPr>
              <w:spacing w:after="240" w:line="340" w:lineRule="atLeast"/>
            </w:pPr>
            <w:r>
              <w:rPr>
                <w:rFonts w:cs="Arial Unicode MS"/>
                <w:color w:val="000000"/>
                <w:u w:color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Caution Cycle Event' Warning Sign before or opposite Junction. 3 Marshals in High Viz Jackets. One with a Red Flag. </w:t>
            </w:r>
          </w:p>
        </w:tc>
      </w:tr>
      <w:tr w:rsidR="007B5CAD" w14:paraId="40A054A5" w14:textId="77777777">
        <w:trPr>
          <w:trHeight w:val="132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74297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9D3B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Sharp turn left at bottom of decent.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BC5E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C, O,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5D7C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010C6" w14:textId="77777777" w:rsidR="007B5CAD" w:rsidRDefault="00D64311">
            <w:pPr>
              <w:pStyle w:val="Default"/>
              <w:spacing w:after="240" w:line="340" w:lineRule="atLeast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Caution Cycle Event' Warning Sign before or opposite Junction. 2 Marshals in High Viz Jackets. </w:t>
            </w:r>
          </w:p>
        </w:tc>
      </w:tr>
      <w:tr w:rsidR="007B5CAD" w14:paraId="164D362B" w14:textId="77777777">
        <w:trPr>
          <w:trHeight w:val="3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C1A2D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52130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Junction on right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71D69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FF8FF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01CCA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Caution Cycle Event sign</w:t>
            </w:r>
          </w:p>
        </w:tc>
      </w:tr>
      <w:tr w:rsidR="007B5CAD" w14:paraId="0D53C56A" w14:textId="77777777">
        <w:trPr>
          <w:trHeight w:val="20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3DFB9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A765B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T-junction turn right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B32BD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C, O,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408D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High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0410" w14:textId="77777777" w:rsidR="007B5CAD" w:rsidRDefault="00D64311">
            <w:pPr>
              <w:pStyle w:val="Default"/>
              <w:spacing w:after="240" w:line="340" w:lineRule="atLeast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Caution Cycle Event' Warning Sign 200m before and past Turn and All 3 Marshals to wear High Viz Jackets and one to have Red Flag. </w:t>
            </w:r>
          </w:p>
        </w:tc>
      </w:tr>
      <w:tr w:rsidR="007B5CAD" w14:paraId="453971EC" w14:textId="77777777">
        <w:trPr>
          <w:trHeight w:val="3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920B0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7EE14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Junction on left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75EA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98D91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BB62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Caution Cycle Event sign</w:t>
            </w:r>
          </w:p>
        </w:tc>
      </w:tr>
      <w:tr w:rsidR="007B5CAD" w14:paraId="6AF34DD7" w14:textId="77777777">
        <w:trPr>
          <w:trHeight w:val="3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443F9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08E1C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Junction on left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89C2C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BE8D9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0B4C3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Caution Cycle Event sign</w:t>
            </w:r>
          </w:p>
        </w:tc>
      </w:tr>
      <w:tr w:rsidR="007B5CAD" w14:paraId="3DE0C26E" w14:textId="77777777">
        <w:trPr>
          <w:trHeight w:val="3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E295E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C328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Junction on right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9E5D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41E8B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47C48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Caution Cycle Event sign</w:t>
            </w:r>
          </w:p>
        </w:tc>
      </w:tr>
      <w:tr w:rsidR="007B5CAD" w14:paraId="327B5E59" w14:textId="77777777">
        <w:trPr>
          <w:trHeight w:val="3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FBB7E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16.3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8C032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Junction on right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F589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56B86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DCF5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Caution Cycle Event sign</w:t>
            </w:r>
          </w:p>
        </w:tc>
      </w:tr>
      <w:tr w:rsidR="007B5CAD" w14:paraId="3D8C3A7A" w14:textId="77777777">
        <w:trPr>
          <w:trHeight w:val="3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F50C7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16.6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AB0F8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Junction on right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E94C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BBDC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Medium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8CA0D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Caution Cycle Event sign</w:t>
            </w:r>
          </w:p>
        </w:tc>
      </w:tr>
      <w:tr w:rsidR="007B5CAD" w14:paraId="770BECF0" w14:textId="77777777">
        <w:trPr>
          <w:trHeight w:val="120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276C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16.9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1308E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Finish opposite Start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74A7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C, O, 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05ED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High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5E70" w14:textId="77777777" w:rsidR="007B5CAD" w:rsidRDefault="00D64311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Two race warning signs either side of Start/Finish. All Officials to wear High Viz Jackets.</w:t>
            </w:r>
          </w:p>
        </w:tc>
      </w:tr>
    </w:tbl>
    <w:p w14:paraId="1F8DB5F1" w14:textId="77777777" w:rsidR="007B5CAD" w:rsidRDefault="007B5CAD">
      <w:pPr>
        <w:pStyle w:val="BodyA"/>
        <w:widowControl w:val="0"/>
        <w:jc w:val="center"/>
        <w:rPr>
          <w:rFonts w:ascii="Arial" w:eastAsia="Arial" w:hAnsi="Arial" w:cs="Arial"/>
          <w:sz w:val="36"/>
          <w:szCs w:val="36"/>
        </w:rPr>
      </w:pPr>
    </w:p>
    <w:tbl>
      <w:tblPr>
        <w:tblW w:w="10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20"/>
      </w:tblGrid>
      <w:tr w:rsidR="007B5CAD" w14:paraId="11ECED57" w14:textId="77777777">
        <w:trPr>
          <w:trHeight w:val="735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990AE" w14:textId="77777777" w:rsidR="007B5CAD" w:rsidRDefault="007B5CAD">
            <w:pPr>
              <w:pStyle w:val="BodyA"/>
              <w:rPr>
                <w:rFonts w:ascii="Arial" w:eastAsia="Arial" w:hAnsi="Arial" w:cs="Arial"/>
                <w:color w:val="0000FF"/>
                <w:sz w:val="16"/>
                <w:szCs w:val="16"/>
                <w:u w:color="0000FF"/>
                <w:lang w:val="en-US"/>
              </w:rPr>
            </w:pPr>
          </w:p>
          <w:p w14:paraId="2A802A8B" w14:textId="77777777" w:rsidR="007B5CAD" w:rsidRDefault="00D64311">
            <w:pPr>
              <w:pStyle w:val="BodyA"/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The small junctions or entrances to farms/ facilities that are not identified in this risk assessment have been considered, however are not considered significant to pose a risk and therefore have not been noted.    </w:t>
            </w:r>
          </w:p>
        </w:tc>
      </w:tr>
    </w:tbl>
    <w:p w14:paraId="4959EA16" w14:textId="77777777" w:rsidR="007B5CAD" w:rsidRDefault="007B5CAD">
      <w:pPr>
        <w:pStyle w:val="BodyA"/>
        <w:widowControl w:val="0"/>
        <w:ind w:left="108" w:hanging="108"/>
        <w:rPr>
          <w:rFonts w:ascii="Arial" w:eastAsia="Arial" w:hAnsi="Arial" w:cs="Arial"/>
          <w:sz w:val="36"/>
          <w:szCs w:val="36"/>
        </w:rPr>
      </w:pPr>
    </w:p>
    <w:p w14:paraId="197632C6" w14:textId="77777777" w:rsidR="007B5CAD" w:rsidRDefault="007B5CAD">
      <w:pPr>
        <w:pStyle w:val="BodyA"/>
        <w:widowControl w:val="0"/>
        <w:rPr>
          <w:rFonts w:ascii="Arial" w:eastAsia="Arial" w:hAnsi="Arial" w:cs="Arial"/>
        </w:rPr>
      </w:pPr>
    </w:p>
    <w:p w14:paraId="6686952B" w14:textId="77777777" w:rsidR="007B5CAD" w:rsidRDefault="007B5CAD">
      <w:pPr>
        <w:pStyle w:val="BodyA"/>
        <w:rPr>
          <w:rFonts w:ascii="Arial" w:eastAsia="Arial" w:hAnsi="Arial" w:cs="Arial"/>
          <w:color w:val="0000FF"/>
          <w:sz w:val="16"/>
          <w:szCs w:val="16"/>
          <w:u w:color="0000FF"/>
        </w:rPr>
      </w:pPr>
    </w:p>
    <w:p w14:paraId="54157826" w14:textId="77777777" w:rsidR="007B5CAD" w:rsidRDefault="007B5CAD">
      <w:pPr>
        <w:pStyle w:val="BodyA"/>
        <w:rPr>
          <w:rFonts w:ascii="Arial" w:eastAsia="Arial" w:hAnsi="Arial" w:cs="Arial"/>
          <w:b/>
          <w:bCs/>
        </w:rPr>
      </w:pPr>
    </w:p>
    <w:p w14:paraId="56AF285D" w14:textId="77777777" w:rsidR="007B5CAD" w:rsidRDefault="00D64311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Date of original assessment: March 2014</w:t>
      </w:r>
    </w:p>
    <w:p w14:paraId="18AC5A78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2717698A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48389299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3D5CCBA7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2BFD97DE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3AB7DD17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3AA99319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167CF476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52BB0631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6BE96FE6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7576AC2F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64B87AFD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145315C1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5276386C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1C5F60A0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120AA85A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3DE95073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3AC017C1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765C27FE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48773628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2065722D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6ED9F36C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3A5C7696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083E382E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55FDEE76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09B21616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10060F14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537D37E0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05D55C67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65468E98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5ED93961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4E7B281D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65BEAD42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5F09BD2D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13AB5F63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30770BFE" w14:textId="77777777" w:rsidR="007B5CAD" w:rsidRDefault="007B5CAD">
      <w:pPr>
        <w:pStyle w:val="BodyA"/>
        <w:rPr>
          <w:rFonts w:ascii="Arial" w:eastAsia="Arial" w:hAnsi="Arial" w:cs="Arial"/>
          <w:b/>
          <w:bCs/>
          <w:sz w:val="16"/>
          <w:szCs w:val="16"/>
        </w:rPr>
      </w:pPr>
    </w:p>
    <w:p w14:paraId="6213DD7F" w14:textId="77777777" w:rsidR="007B5CAD" w:rsidRDefault="007B5CAD">
      <w:pPr>
        <w:pStyle w:val="BodyA"/>
      </w:pPr>
    </w:p>
    <w:sectPr w:rsidR="007B5CAD">
      <w:headerReference w:type="default" r:id="rId7"/>
      <w:footerReference w:type="default" r:id="rId8"/>
      <w:pgSz w:w="11900" w:h="16840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E7C0" w14:textId="77777777" w:rsidR="00D64311" w:rsidRDefault="00D64311">
      <w:r>
        <w:separator/>
      </w:r>
    </w:p>
  </w:endnote>
  <w:endnote w:type="continuationSeparator" w:id="0">
    <w:p w14:paraId="34C2769A" w14:textId="77777777" w:rsidR="00D64311" w:rsidRDefault="00D6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7634" w14:textId="77777777" w:rsidR="007B5CAD" w:rsidRDefault="007B5CAD">
    <w:pPr>
      <w:pStyle w:val="BodyText"/>
      <w:jc w:val="center"/>
    </w:pPr>
  </w:p>
  <w:p w14:paraId="14E7814F" w14:textId="77777777" w:rsidR="007B5CAD" w:rsidRDefault="00D64311">
    <w:pPr>
      <w:pStyle w:val="Footer"/>
      <w:jc w:val="center"/>
    </w:pPr>
    <w:r>
      <w:rPr>
        <w:rFonts w:ascii="Arial" w:hAnsi="Arial"/>
        <w:color w:val="0000FF"/>
        <w:sz w:val="16"/>
        <w:szCs w:val="16"/>
        <w:u w:color="0000FF"/>
      </w:rPr>
      <w:t>CYCLING TIME TRIALS IS A COMPANY LIMITED BY GUARANTEE REGISTERED IN ENGLAND No: 4413282</w:t>
    </w:r>
    <w:r>
      <w:rPr>
        <w:rFonts w:ascii="Arial Unicode MS" w:hAnsi="Arial Unicode MS"/>
        <w:color w:val="0000FF"/>
        <w:sz w:val="16"/>
        <w:szCs w:val="16"/>
        <w:u w:color="0000FF"/>
      </w:rPr>
      <w:br/>
    </w:r>
    <w:r>
      <w:rPr>
        <w:rFonts w:ascii="Arial" w:hAnsi="Arial"/>
        <w:color w:val="0000FF"/>
        <w:sz w:val="14"/>
        <w:szCs w:val="14"/>
        <w:u w:color="0000FF"/>
      </w:rPr>
      <w:t>Registered Address:</w:t>
    </w:r>
    <w:r>
      <w:rPr>
        <w:sz w:val="14"/>
        <w:szCs w:val="14"/>
      </w:rPr>
      <w:t xml:space="preserve"> </w:t>
    </w:r>
    <w:r>
      <w:rPr>
        <w:rFonts w:ascii="Arial" w:hAnsi="Arial"/>
        <w:color w:val="0000FF"/>
        <w:sz w:val="14"/>
        <w:szCs w:val="14"/>
        <w:u w:color="0000FF"/>
      </w:rPr>
      <w:t xml:space="preserve">C/O DJH Accountants Ltd, </w:t>
    </w:r>
    <w:proofErr w:type="spellStart"/>
    <w:r>
      <w:rPr>
        <w:rFonts w:ascii="Arial" w:hAnsi="Arial"/>
        <w:color w:val="0000FF"/>
        <w:sz w:val="14"/>
        <w:szCs w:val="14"/>
        <w:u w:color="0000FF"/>
      </w:rPr>
      <w:t>Porthill</w:t>
    </w:r>
    <w:proofErr w:type="spellEnd"/>
    <w:r>
      <w:rPr>
        <w:rFonts w:ascii="Arial" w:hAnsi="Arial"/>
        <w:color w:val="0000FF"/>
        <w:sz w:val="14"/>
        <w:szCs w:val="14"/>
        <w:u w:color="0000FF"/>
      </w:rPr>
      <w:t xml:space="preserve"> Lodge, </w:t>
    </w:r>
    <w:r>
      <w:rPr>
        <w:rFonts w:ascii="Arial" w:hAnsi="Arial"/>
        <w:color w:val="0000FF"/>
        <w:sz w:val="14"/>
        <w:szCs w:val="14"/>
        <w:u w:color="0000FF"/>
      </w:rPr>
      <w:t xml:space="preserve">High Street, </w:t>
    </w:r>
    <w:proofErr w:type="spellStart"/>
    <w:r>
      <w:rPr>
        <w:rFonts w:ascii="Arial" w:hAnsi="Arial"/>
        <w:color w:val="0000FF"/>
        <w:sz w:val="14"/>
        <w:szCs w:val="14"/>
        <w:u w:color="0000FF"/>
      </w:rPr>
      <w:t>Wolstanton</w:t>
    </w:r>
    <w:proofErr w:type="spellEnd"/>
    <w:r>
      <w:rPr>
        <w:rFonts w:ascii="Arial" w:hAnsi="Arial"/>
        <w:color w:val="0000FF"/>
        <w:sz w:val="14"/>
        <w:szCs w:val="14"/>
        <w:u w:color="0000FF"/>
      </w:rPr>
      <w:t>, Newcastle under Lyme, Staffordshire, ST5 0EZ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9C1E" w14:textId="77777777" w:rsidR="00D64311" w:rsidRDefault="00D64311">
      <w:r>
        <w:separator/>
      </w:r>
    </w:p>
  </w:footnote>
  <w:footnote w:type="continuationSeparator" w:id="0">
    <w:p w14:paraId="60174D9D" w14:textId="77777777" w:rsidR="00D64311" w:rsidRDefault="00D6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DF84" w14:textId="77777777" w:rsidR="007B5CAD" w:rsidRDefault="00D643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24BED66" wp14:editId="15DF4A5C">
          <wp:simplePos x="0" y="0"/>
          <wp:positionH relativeFrom="page">
            <wp:posOffset>911859</wp:posOffset>
          </wp:positionH>
          <wp:positionV relativeFrom="page">
            <wp:posOffset>20399375</wp:posOffset>
          </wp:positionV>
          <wp:extent cx="304800" cy="323850"/>
          <wp:effectExtent l="0" t="0" r="0" b="0"/>
          <wp:wrapNone/>
          <wp:docPr id="1073741825" name="officeArt object" descr="RTT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TTC" descr="RTT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23458E8" wp14:editId="1D437993">
          <wp:simplePos x="0" y="0"/>
          <wp:positionH relativeFrom="page">
            <wp:posOffset>911859</wp:posOffset>
          </wp:positionH>
          <wp:positionV relativeFrom="page">
            <wp:posOffset>20399375</wp:posOffset>
          </wp:positionV>
          <wp:extent cx="304800" cy="323850"/>
          <wp:effectExtent l="0" t="0" r="0" b="0"/>
          <wp:wrapNone/>
          <wp:docPr id="1073741826" name="officeArt object" descr="RTT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TTC" descr="RTT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09BC635" wp14:editId="330FB5DF">
              <wp:simplePos x="0" y="0"/>
              <wp:positionH relativeFrom="page">
                <wp:posOffset>214628</wp:posOffset>
              </wp:positionH>
              <wp:positionV relativeFrom="page">
                <wp:posOffset>10094594</wp:posOffset>
              </wp:positionV>
              <wp:extent cx="7040882" cy="0"/>
              <wp:effectExtent l="0" t="0" r="0" b="0"/>
              <wp:wrapNone/>
              <wp:docPr id="1073741827" name="officeArt object" descr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0882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16.9pt;margin-top:794.8pt;width:554.4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AD"/>
    <w:rsid w:val="00181B86"/>
    <w:rsid w:val="007B5CAD"/>
    <w:rsid w:val="00D6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CF6C"/>
  <w15:docId w15:val="{A211D9DE-A6B7-40D2-B256-5DCC445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keepNext/>
      <w:outlineLvl w:val="1"/>
    </w:pPr>
    <w:rPr>
      <w:rFonts w:ascii="Arial" w:eastAsia="Arial" w:hAnsi="Arial" w:cs="Arial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next w:val="BodyA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4">
    <w:name w:val="heading 4"/>
    <w:next w:val="BodyA"/>
    <w:uiPriority w:val="9"/>
    <w:unhideWhenUsed/>
    <w:qFormat/>
    <w:pPr>
      <w:keepNext/>
      <w:jc w:val="center"/>
      <w:outlineLvl w:val="3"/>
    </w:pPr>
    <w:rPr>
      <w:rFonts w:ascii="Arial" w:hAnsi="Arial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">
    <w:name w:val="Body Text"/>
    <w:rPr>
      <w:rFonts w:ascii="Arial" w:hAnsi="Arial" w:cs="Arial Unicode MS"/>
      <w:color w:val="000000"/>
      <w:sz w:val="16"/>
      <w:szCs w:val="16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jc w:val="center"/>
      <w:outlineLvl w:val="0"/>
    </w:pPr>
    <w:rPr>
      <w:rFonts w:ascii="Arial" w:hAnsi="Arial" w:cs="Arial Unicode MS"/>
      <w:b/>
      <w:bCs/>
      <w:color w:val="000000"/>
      <w:sz w:val="36"/>
      <w:szCs w:val="3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McMillan</cp:lastModifiedBy>
  <cp:revision>2</cp:revision>
  <dcterms:created xsi:type="dcterms:W3CDTF">2021-05-07T17:29:00Z</dcterms:created>
  <dcterms:modified xsi:type="dcterms:W3CDTF">2021-05-07T17:29:00Z</dcterms:modified>
</cp:coreProperties>
</file>