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2"/>
        <w:gridCol w:w="5095"/>
      </w:tblGrid>
      <w:tr w:rsidR="00F1390D" w14:paraId="3AD4DEE2" w14:textId="77777777" w:rsidTr="00F1390D">
        <w:trPr>
          <w:trHeight w:hRule="exact" w:val="1871"/>
        </w:trPr>
        <w:tc>
          <w:tcPr>
            <w:tcW w:w="5062" w:type="dxa"/>
            <w:hideMark/>
          </w:tcPr>
          <w:p w14:paraId="7B674B22" w14:textId="21CCCA09" w:rsidR="00F1390D" w:rsidRDefault="00F1390D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 wp14:anchorId="5ABF63DF" wp14:editId="17BBFC5A">
                  <wp:extent cx="1188720" cy="1013460"/>
                  <wp:effectExtent l="0" t="0" r="0" b="0"/>
                  <wp:docPr id="1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5" w:type="dxa"/>
            <w:vAlign w:val="center"/>
            <w:hideMark/>
          </w:tcPr>
          <w:p w14:paraId="44BA517C" w14:textId="77777777" w:rsidR="00F1390D" w:rsidRDefault="00F1390D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F1390D" w14:paraId="0D2AAE6B" w14:textId="77777777" w:rsidTr="00F1390D">
        <w:trPr>
          <w:trHeight w:hRule="exact" w:val="483"/>
        </w:trPr>
        <w:tc>
          <w:tcPr>
            <w:tcW w:w="5062" w:type="dxa"/>
            <w:vAlign w:val="center"/>
          </w:tcPr>
          <w:p w14:paraId="13775FF7" w14:textId="77777777" w:rsidR="00F1390D" w:rsidRDefault="00F1390D">
            <w:pPr>
              <w:rPr>
                <w:rFonts w:ascii="Arial" w:hAnsi="Arial"/>
                <w:b/>
              </w:rPr>
            </w:pPr>
          </w:p>
          <w:p w14:paraId="65A954BB" w14:textId="08C2811D" w:rsidR="00F1390D" w:rsidRDefault="00F1390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Course/Road(s) Assessed:  </w:t>
            </w:r>
            <w:r w:rsidR="008E3E89">
              <w:rPr>
                <w:rFonts w:ascii="Arial" w:hAnsi="Arial"/>
                <w:b/>
              </w:rPr>
              <w:t>Military Road 25km</w:t>
            </w:r>
            <w:r>
              <w:rPr>
                <w:rFonts w:ascii="Arial" w:hAnsi="Arial"/>
                <w:b/>
              </w:rPr>
              <w:t xml:space="preserve"> </w:t>
            </w:r>
            <w:r w:rsidR="002A3EE1">
              <w:rPr>
                <w:rFonts w:ascii="Arial" w:hAnsi="Arial"/>
                <w:b/>
              </w:rPr>
              <w:t>TT</w:t>
            </w:r>
            <w:r>
              <w:rPr>
                <w:rFonts w:ascii="Arial" w:hAnsi="Arial"/>
                <w:b/>
              </w:rPr>
              <w:t xml:space="preserve">   </w:t>
            </w:r>
          </w:p>
        </w:tc>
        <w:tc>
          <w:tcPr>
            <w:tcW w:w="5095" w:type="dxa"/>
          </w:tcPr>
          <w:p w14:paraId="2C246725" w14:textId="77777777" w:rsidR="00F1390D" w:rsidRDefault="00F1390D">
            <w:pPr>
              <w:rPr>
                <w:rFonts w:ascii="Arial" w:hAnsi="Arial"/>
                <w:b/>
              </w:rPr>
            </w:pPr>
          </w:p>
          <w:p w14:paraId="0B95CEC9" w14:textId="53C5B3E6" w:rsidR="00F1390D" w:rsidRDefault="00F1390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Course:  </w:t>
            </w:r>
            <w:r w:rsidR="00301FE5">
              <w:rPr>
                <w:rFonts w:ascii="Arial" w:hAnsi="Arial"/>
                <w:b/>
              </w:rPr>
              <w:t>PO55/</w:t>
            </w:r>
            <w:r w:rsidR="005E3CFB">
              <w:rPr>
                <w:rFonts w:ascii="Arial" w:hAnsi="Arial"/>
                <w:b/>
              </w:rPr>
              <w:t>25K</w:t>
            </w:r>
          </w:p>
        </w:tc>
      </w:tr>
      <w:tr w:rsidR="00F1390D" w14:paraId="7E77DC2F" w14:textId="77777777" w:rsidTr="00F1390D">
        <w:trPr>
          <w:trHeight w:hRule="exact" w:val="483"/>
        </w:trPr>
        <w:tc>
          <w:tcPr>
            <w:tcW w:w="5062" w:type="dxa"/>
            <w:vAlign w:val="center"/>
          </w:tcPr>
          <w:p w14:paraId="3971F798" w14:textId="77777777" w:rsidR="00F1390D" w:rsidRDefault="00F1390D">
            <w:pPr>
              <w:pStyle w:val="Heading2"/>
              <w:rPr>
                <w:b/>
                <w:sz w:val="20"/>
              </w:rPr>
            </w:pPr>
          </w:p>
          <w:p w14:paraId="643448F3" w14:textId="77777777" w:rsidR="00F1390D" w:rsidRDefault="00F1390D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Assessment/Review:  19/10/2021</w:t>
            </w:r>
          </w:p>
        </w:tc>
        <w:tc>
          <w:tcPr>
            <w:tcW w:w="5095" w:type="dxa"/>
            <w:vAlign w:val="center"/>
          </w:tcPr>
          <w:p w14:paraId="44DF7E19" w14:textId="77777777" w:rsidR="00F1390D" w:rsidRDefault="00F1390D">
            <w:pPr>
              <w:rPr>
                <w:rFonts w:ascii="Arial" w:hAnsi="Arial"/>
                <w:b/>
              </w:rPr>
            </w:pPr>
          </w:p>
          <w:p w14:paraId="4CF56D88" w14:textId="77777777" w:rsidR="00F1390D" w:rsidRDefault="00F1390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Assessor:  Jerry Cooper</w:t>
            </w:r>
          </w:p>
        </w:tc>
      </w:tr>
    </w:tbl>
    <w:p w14:paraId="5746F8D9" w14:textId="77777777" w:rsidR="00F1390D" w:rsidRDefault="00F1390D" w:rsidP="00F1390D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F1390D" w14:paraId="2E536B6A" w14:textId="77777777" w:rsidTr="00F1390D">
        <w:trPr>
          <w:trHeight w:val="1286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8DBF" w14:textId="77777777" w:rsidR="00F1390D" w:rsidRDefault="00F1390D">
            <w:pPr>
              <w:rPr>
                <w:rFonts w:ascii="Arial" w:hAnsi="Arial"/>
                <w:b/>
              </w:rPr>
            </w:pPr>
          </w:p>
          <w:p w14:paraId="6AEE4FAE" w14:textId="77777777" w:rsidR="00A03F4D" w:rsidRDefault="00F1390D" w:rsidP="00472D8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 xml:space="preserve">Course Description:  </w:t>
            </w:r>
            <w:r w:rsidR="00B50924" w:rsidRPr="003B2916">
              <w:rPr>
                <w:rFonts w:ascii="Arial" w:hAnsi="Arial"/>
                <w:bCs/>
              </w:rPr>
              <w:t>Out and back c</w:t>
            </w:r>
            <w:r w:rsidR="003B2916" w:rsidRPr="003B2916">
              <w:rPr>
                <w:rFonts w:ascii="Arial" w:hAnsi="Arial"/>
                <w:bCs/>
              </w:rPr>
              <w:t>ourse</w:t>
            </w:r>
            <w:r w:rsidR="003B2916">
              <w:rPr>
                <w:rFonts w:ascii="Arial" w:hAnsi="Arial"/>
                <w:bCs/>
              </w:rPr>
              <w:t xml:space="preserve"> with</w:t>
            </w:r>
            <w:r w:rsidR="00DC4528">
              <w:rPr>
                <w:rFonts w:ascii="Arial" w:hAnsi="Arial"/>
                <w:bCs/>
              </w:rPr>
              <w:t xml:space="preserve"> a climb at </w:t>
            </w:r>
            <w:r w:rsidR="00A03F4D">
              <w:rPr>
                <w:rFonts w:ascii="Arial" w:hAnsi="Arial"/>
                <w:bCs/>
              </w:rPr>
              <w:t xml:space="preserve">6.8 miles and a </w:t>
            </w:r>
            <w:r w:rsidR="00DC4528">
              <w:rPr>
                <w:rFonts w:ascii="Arial" w:hAnsi="Arial"/>
                <w:bCs/>
              </w:rPr>
              <w:t>roundabout turn</w:t>
            </w:r>
            <w:r w:rsidR="003B2916">
              <w:rPr>
                <w:rFonts w:ascii="Arial" w:hAnsi="Arial"/>
                <w:bCs/>
              </w:rPr>
              <w:t xml:space="preserve"> </w:t>
            </w:r>
            <w:r w:rsidR="00A03F4D">
              <w:rPr>
                <w:rFonts w:ascii="Arial" w:hAnsi="Arial"/>
                <w:bCs/>
              </w:rPr>
              <w:t xml:space="preserve">at 7.5 miles. </w:t>
            </w:r>
            <w:r w:rsidR="000047C3">
              <w:rPr>
                <w:rFonts w:ascii="Arial" w:hAnsi="Arial"/>
                <w:bCs/>
              </w:rPr>
              <w:t xml:space="preserve">Start on the Military </w:t>
            </w:r>
            <w:r w:rsidR="00F9662F">
              <w:rPr>
                <w:rFonts w:ascii="Arial" w:hAnsi="Arial"/>
                <w:bCs/>
              </w:rPr>
              <w:t>Road A3055 approximately 0.5 miles east of the junction with Brook Village Road.</w:t>
            </w:r>
            <w:r w:rsidR="001C6A76">
              <w:rPr>
                <w:rFonts w:ascii="Arial" w:hAnsi="Arial"/>
                <w:bCs/>
              </w:rPr>
              <w:t xml:space="preserve"> Continue east along Military Road A3055 to the </w:t>
            </w:r>
            <w:r w:rsidR="00D67C1B">
              <w:rPr>
                <w:rFonts w:ascii="Arial" w:hAnsi="Arial"/>
                <w:bCs/>
              </w:rPr>
              <w:t xml:space="preserve">roundabout </w:t>
            </w:r>
            <w:r w:rsidR="009B0853">
              <w:rPr>
                <w:rFonts w:ascii="Arial" w:hAnsi="Arial"/>
                <w:bCs/>
              </w:rPr>
              <w:t>halfway</w:t>
            </w:r>
            <w:r w:rsidR="00D67C1B">
              <w:rPr>
                <w:rFonts w:ascii="Arial" w:hAnsi="Arial"/>
                <w:bCs/>
              </w:rPr>
              <w:t xml:space="preserve"> up Blythe Shute</w:t>
            </w:r>
            <w:r w:rsidR="009B0853">
              <w:rPr>
                <w:rFonts w:ascii="Arial" w:hAnsi="Arial"/>
                <w:bCs/>
              </w:rPr>
              <w:t xml:space="preserve">. Turn at roundabout and </w:t>
            </w:r>
            <w:r w:rsidR="00933A77">
              <w:rPr>
                <w:rFonts w:ascii="Arial" w:hAnsi="Arial"/>
                <w:bCs/>
              </w:rPr>
              <w:t>return to the Military Road A3055. Continue along the Military Road A3055</w:t>
            </w:r>
            <w:r w:rsidR="00A26E9C">
              <w:rPr>
                <w:rFonts w:ascii="Arial" w:hAnsi="Arial"/>
                <w:bCs/>
              </w:rPr>
              <w:t>, past the start line to finish approximately 0.5 miles before the Compton Bay car park.</w:t>
            </w:r>
          </w:p>
          <w:p w14:paraId="64871C3E" w14:textId="7E0041EE" w:rsidR="00A26E9C" w:rsidRPr="009B0853" w:rsidRDefault="00A26E9C" w:rsidP="00472D81">
            <w:pPr>
              <w:rPr>
                <w:rFonts w:ascii="Arial" w:hAnsi="Arial"/>
                <w:bCs/>
              </w:rPr>
            </w:pPr>
          </w:p>
        </w:tc>
      </w:tr>
    </w:tbl>
    <w:p w14:paraId="514C82C5" w14:textId="77777777" w:rsidR="00F1390D" w:rsidRDefault="00F1390D" w:rsidP="00F1390D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F1390D" w14:paraId="43EEE033" w14:textId="77777777" w:rsidTr="00F1390D">
        <w:trPr>
          <w:trHeight w:val="861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A16B" w14:textId="77777777" w:rsidR="00F1390D" w:rsidRDefault="00F1390D">
            <w:pPr>
              <w:rPr>
                <w:rFonts w:ascii="Arial" w:hAnsi="Arial"/>
                <w:b/>
              </w:rPr>
            </w:pPr>
          </w:p>
          <w:p w14:paraId="13DA8E9E" w14:textId="54B68E56" w:rsidR="00F1390D" w:rsidRDefault="00F1390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Traffic Flows:</w:t>
            </w:r>
            <w:r>
              <w:rPr>
                <w:rFonts w:ascii="Arial" w:hAnsi="Arial"/>
              </w:rPr>
              <w:t xml:space="preserve"> </w:t>
            </w:r>
            <w:r w:rsidR="00A26E9C">
              <w:rPr>
                <w:rFonts w:ascii="Arial" w:hAnsi="Arial"/>
              </w:rPr>
              <w:t>Medium</w:t>
            </w:r>
            <w:r>
              <w:rPr>
                <w:rFonts w:ascii="Arial" w:hAnsi="Arial"/>
              </w:rPr>
              <w:t xml:space="preserve"> on roads used at the time of the event.</w:t>
            </w:r>
          </w:p>
          <w:p w14:paraId="429E09E8" w14:textId="77777777" w:rsidR="00F1390D" w:rsidRDefault="00F1390D">
            <w:pPr>
              <w:rPr>
                <w:rFonts w:ascii="Arial" w:hAnsi="Arial"/>
              </w:rPr>
            </w:pPr>
          </w:p>
        </w:tc>
      </w:tr>
    </w:tbl>
    <w:p w14:paraId="3E1BD2FA" w14:textId="77777777" w:rsidR="00F1390D" w:rsidRDefault="00F1390D" w:rsidP="00F1390D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F1390D" w14:paraId="59A2203F" w14:textId="77777777" w:rsidTr="00472D81">
        <w:trPr>
          <w:trHeight w:val="487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A17A" w14:textId="77777777" w:rsidR="00F1390D" w:rsidRDefault="00F1390D">
            <w:pPr>
              <w:rPr>
                <w:rFonts w:ascii="Arial" w:hAnsi="Arial"/>
                <w:b/>
              </w:rPr>
            </w:pPr>
          </w:p>
          <w:p w14:paraId="54B93D45" w14:textId="70C559C3" w:rsidR="00F1390D" w:rsidRDefault="00F1390D" w:rsidP="00C567B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Course/Event History:  </w:t>
            </w:r>
            <w:r w:rsidR="00A26E9C">
              <w:rPr>
                <w:rFonts w:ascii="Arial" w:hAnsi="Arial"/>
                <w:b/>
              </w:rPr>
              <w:t xml:space="preserve">New course – A shorter version known as the Pearl 10 Mile </w:t>
            </w:r>
            <w:r w:rsidR="00250E69">
              <w:rPr>
                <w:rFonts w:ascii="Arial" w:hAnsi="Arial"/>
                <w:b/>
              </w:rPr>
              <w:t>TT has been used in the past.</w:t>
            </w:r>
          </w:p>
          <w:p w14:paraId="66CCCB5A" w14:textId="6FB02CF2" w:rsidR="00C567B1" w:rsidRDefault="00C567B1" w:rsidP="00C567B1">
            <w:pPr>
              <w:rPr>
                <w:rFonts w:ascii="Arial" w:hAnsi="Arial"/>
              </w:rPr>
            </w:pPr>
          </w:p>
        </w:tc>
      </w:tr>
    </w:tbl>
    <w:p w14:paraId="3BBC07F3" w14:textId="77777777" w:rsidR="00F1390D" w:rsidRDefault="00F1390D" w:rsidP="00F1390D">
      <w:pPr>
        <w:rPr>
          <w:rFonts w:ascii="Arial" w:hAnsi="Arial"/>
          <w:sz w:val="36"/>
        </w:rPr>
      </w:pPr>
    </w:p>
    <w:p w14:paraId="3789C0CE" w14:textId="77777777" w:rsidR="00F1390D" w:rsidRDefault="00F1390D" w:rsidP="00F1390D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Key Identified Risks</w:t>
      </w:r>
    </w:p>
    <w:p w14:paraId="3AB67C46" w14:textId="77777777" w:rsidR="00F1390D" w:rsidRDefault="00F1390D" w:rsidP="00F1390D">
      <w:pPr>
        <w:rPr>
          <w:rFonts w:ascii="Arial" w:hAnsi="Arial"/>
          <w:sz w:val="36"/>
        </w:rPr>
      </w:pP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2410"/>
        <w:gridCol w:w="2411"/>
        <w:gridCol w:w="1702"/>
        <w:gridCol w:w="2800"/>
      </w:tblGrid>
      <w:tr w:rsidR="00F1390D" w14:paraId="4B76688E" w14:textId="77777777" w:rsidTr="00DF2B59">
        <w:trPr>
          <w:cantSplit/>
          <w:trHeight w:hRule="exact" w:val="600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5051" w14:textId="77777777" w:rsidR="00F1390D" w:rsidRDefault="00F1390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E075" w14:textId="77777777" w:rsidR="00F1390D" w:rsidRDefault="00F1390D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C8B6" w14:textId="77777777" w:rsidR="00F1390D" w:rsidRDefault="00F1390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Identified Significant Risk/Hazards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D0A6" w14:textId="77777777" w:rsidR="00F1390D" w:rsidRDefault="00F1390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44AD" w14:textId="77777777" w:rsidR="00F1390D" w:rsidRDefault="00F1390D">
            <w:pPr>
              <w:pStyle w:val="Heading4"/>
            </w:pPr>
            <w:r>
              <w:t>Measures to reduce Risk</w:t>
            </w:r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F1390D" w14:paraId="17183200" w14:textId="77777777" w:rsidTr="00DF2B59">
        <w:trPr>
          <w:cantSplit/>
          <w:trHeight w:hRule="exact" w:val="1816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E2E9" w14:textId="77777777" w:rsidR="00F1390D" w:rsidRDefault="00F1390D">
            <w:pPr>
              <w:rPr>
                <w:rFonts w:ascii="Arial" w:hAnsi="Arial"/>
              </w:rPr>
            </w:pPr>
          </w:p>
          <w:p w14:paraId="492EB785" w14:textId="3BF72B79" w:rsidR="00F1390D" w:rsidRDefault="00F139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 </w:t>
            </w:r>
            <w:r w:rsidR="007B6513">
              <w:rPr>
                <w:rFonts w:ascii="Arial" w:hAnsi="Arial"/>
              </w:rPr>
              <w:t>km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4FF8" w14:textId="77777777" w:rsidR="00F1390D" w:rsidRDefault="00F1390D">
            <w:pPr>
              <w:rPr>
                <w:rFonts w:ascii="Arial" w:hAnsi="Arial"/>
                <w:b/>
              </w:rPr>
            </w:pPr>
          </w:p>
          <w:p w14:paraId="515FB116" w14:textId="522CB1FC" w:rsidR="00F1390D" w:rsidRDefault="00F1390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START: </w:t>
            </w:r>
            <w:r w:rsidR="0084419B">
              <w:rPr>
                <w:rFonts w:ascii="Arial" w:hAnsi="Arial" w:cs="Arial"/>
                <w:shd w:val="clear" w:color="auto" w:fill="FFFFFF"/>
              </w:rPr>
              <w:t xml:space="preserve">On the </w:t>
            </w:r>
            <w:r w:rsidR="00CA29D1">
              <w:rPr>
                <w:rFonts w:ascii="Arial" w:hAnsi="Arial" w:cs="Arial"/>
                <w:shd w:val="clear" w:color="auto" w:fill="FFFFFF"/>
              </w:rPr>
              <w:t>Military Road A3055 approximately 0.5 miles from the junction with Brook Village Road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8A95" w14:textId="77777777" w:rsidR="00F1390D" w:rsidRDefault="00F1390D">
            <w:pPr>
              <w:rPr>
                <w:rFonts w:ascii="Arial" w:hAnsi="Arial"/>
              </w:rPr>
            </w:pPr>
          </w:p>
          <w:p w14:paraId="71E65E0D" w14:textId="401F058C" w:rsidR="00F1390D" w:rsidRDefault="00F139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Riders starting journey on </w:t>
            </w:r>
            <w:r w:rsidR="00CA29D1">
              <w:rPr>
                <w:rFonts w:ascii="Arial" w:hAnsi="Arial"/>
              </w:rPr>
              <w:t>the Military Road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1674" w14:textId="77777777" w:rsidR="00F1390D" w:rsidRDefault="00F1390D">
            <w:pPr>
              <w:rPr>
                <w:rFonts w:ascii="Arial" w:hAnsi="Arial"/>
              </w:rPr>
            </w:pPr>
          </w:p>
          <w:p w14:paraId="4A713230" w14:textId="77777777" w:rsidR="00F1390D" w:rsidRDefault="00F139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Low</w:t>
            </w:r>
          </w:p>
          <w:p w14:paraId="739F314D" w14:textId="77777777" w:rsidR="00F1390D" w:rsidRDefault="00F1390D">
            <w:pPr>
              <w:rPr>
                <w:rFonts w:ascii="Arial" w:hAnsi="Arial"/>
              </w:rPr>
            </w:pPr>
          </w:p>
          <w:p w14:paraId="3D335D52" w14:textId="77777777" w:rsidR="00F1390D" w:rsidRDefault="00F1390D">
            <w:pPr>
              <w:jc w:val="center"/>
              <w:rPr>
                <w:rFonts w:ascii="Arial" w:hAnsi="Arial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E07D" w14:textId="77777777" w:rsidR="00F1390D" w:rsidRDefault="00F1390D">
            <w:pPr>
              <w:rPr>
                <w:rFonts w:ascii="Arial" w:hAnsi="Arial"/>
              </w:rPr>
            </w:pPr>
          </w:p>
          <w:p w14:paraId="08A4031D" w14:textId="6DEC924F" w:rsidR="00F1390D" w:rsidRDefault="00F139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 maintain low level of risk; Riders will be instruct</w:t>
            </w:r>
            <w:r w:rsidR="00A64E62">
              <w:rPr>
                <w:rFonts w:ascii="Arial" w:hAnsi="Arial"/>
              </w:rPr>
              <w:t xml:space="preserve">ed </w:t>
            </w:r>
            <w:r>
              <w:rPr>
                <w:rFonts w:ascii="Arial" w:hAnsi="Arial"/>
              </w:rPr>
              <w:t>to arrive at the start 5 minutes prior to start time and wait on the verge at the side of the road.</w:t>
            </w:r>
          </w:p>
        </w:tc>
      </w:tr>
      <w:tr w:rsidR="00F1390D" w14:paraId="3590733D" w14:textId="77777777" w:rsidTr="00DF2B59">
        <w:trPr>
          <w:cantSplit/>
          <w:trHeight w:hRule="exact" w:val="171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E1E6" w14:textId="77777777" w:rsidR="00F1390D" w:rsidRDefault="00F1390D">
            <w:pPr>
              <w:rPr>
                <w:rFonts w:ascii="Arial" w:hAnsi="Arial"/>
              </w:rPr>
            </w:pPr>
          </w:p>
          <w:p w14:paraId="1EE0FB5D" w14:textId="6154261D" w:rsidR="00F1390D" w:rsidRDefault="007B651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3.2 km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0CC1" w14:textId="77777777" w:rsidR="00F1390D" w:rsidRDefault="00F1390D">
            <w:pPr>
              <w:rPr>
                <w:rFonts w:ascii="Arial" w:hAnsi="Arial"/>
              </w:rPr>
            </w:pPr>
          </w:p>
          <w:p w14:paraId="08A75AF3" w14:textId="341D35E2" w:rsidR="00690EE3" w:rsidRDefault="00C23E8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Riders continue along the Military Road A3055 past the junction</w:t>
            </w:r>
            <w:r w:rsidR="005115DF">
              <w:rPr>
                <w:rFonts w:ascii="Arial" w:hAnsi="Arial"/>
              </w:rPr>
              <w:t xml:space="preserve"> with New Road and the A3055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D813" w14:textId="77777777" w:rsidR="00F1390D" w:rsidRDefault="00F1390D">
            <w:pPr>
              <w:rPr>
                <w:rFonts w:ascii="Arial" w:hAnsi="Arial"/>
              </w:rPr>
            </w:pPr>
          </w:p>
          <w:p w14:paraId="4666026E" w14:textId="023D06F1" w:rsidR="00F1390D" w:rsidRDefault="00F139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Riders </w:t>
            </w:r>
            <w:r w:rsidR="005115DF">
              <w:rPr>
                <w:rFonts w:ascii="Arial" w:hAnsi="Arial"/>
              </w:rPr>
              <w:t>continue</w:t>
            </w:r>
            <w:r w:rsidR="00090572">
              <w:rPr>
                <w:rFonts w:ascii="Arial" w:hAnsi="Arial"/>
              </w:rPr>
              <w:t xml:space="preserve"> along the road and have right of way.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1246" w14:textId="77777777" w:rsidR="00F1390D" w:rsidRDefault="00F1390D">
            <w:pPr>
              <w:jc w:val="center"/>
              <w:rPr>
                <w:rFonts w:ascii="Arial" w:hAnsi="Arial"/>
              </w:rPr>
            </w:pPr>
          </w:p>
          <w:p w14:paraId="6361D8E0" w14:textId="77777777" w:rsidR="00F1390D" w:rsidRDefault="00F139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Medium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F439" w14:textId="77777777" w:rsidR="00F1390D" w:rsidRDefault="00F1390D">
            <w:pPr>
              <w:rPr>
                <w:rFonts w:ascii="Arial" w:hAnsi="Arial"/>
              </w:rPr>
            </w:pPr>
          </w:p>
          <w:p w14:paraId="4DAB094B" w14:textId="4CD2946B" w:rsidR="00F1390D" w:rsidRDefault="001815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 placed opposite the junction of New Road to warn drivers turning onto the Military Road A3055 of riders approaching</w:t>
            </w:r>
          </w:p>
        </w:tc>
      </w:tr>
      <w:tr w:rsidR="00F1390D" w14:paraId="1BD06E91" w14:textId="77777777" w:rsidTr="00DF2B59">
        <w:trPr>
          <w:cantSplit/>
          <w:trHeight w:hRule="exact" w:val="1838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397E" w14:textId="77777777" w:rsidR="00F1390D" w:rsidRDefault="00F1390D">
            <w:pPr>
              <w:rPr>
                <w:rFonts w:ascii="Arial" w:hAnsi="Arial"/>
              </w:rPr>
            </w:pPr>
          </w:p>
          <w:p w14:paraId="3590E85D" w14:textId="1A24141F" w:rsidR="00181581" w:rsidRDefault="00806D1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11.1 km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CABB" w14:textId="77777777" w:rsidR="00F1390D" w:rsidRDefault="00F1390D">
            <w:pPr>
              <w:rPr>
                <w:rFonts w:ascii="Arial" w:hAnsi="Arial" w:cs="Arial"/>
                <w:shd w:val="clear" w:color="auto" w:fill="FFFFFF"/>
              </w:rPr>
            </w:pPr>
          </w:p>
          <w:p w14:paraId="0E205725" w14:textId="05B4C98E" w:rsidR="00DD31A4" w:rsidRDefault="00DD31A4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Riders continue along the Military Road A3055 past the junction with </w:t>
            </w:r>
            <w:r w:rsidR="0021061F">
              <w:rPr>
                <w:rFonts w:ascii="Arial" w:hAnsi="Arial" w:cs="Arial"/>
                <w:shd w:val="clear" w:color="auto" w:fill="FFFFFF"/>
              </w:rPr>
              <w:t>Church Place B3399</w:t>
            </w:r>
            <w:r w:rsidR="00694D9B">
              <w:rPr>
                <w:rFonts w:ascii="Arial" w:hAnsi="Arial" w:cs="Arial"/>
                <w:shd w:val="clear" w:color="auto" w:fill="FFFFFF"/>
              </w:rPr>
              <w:t xml:space="preserve"> and begin the climb at Blythe Shute.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EBAE" w14:textId="77777777" w:rsidR="00F1390D" w:rsidRDefault="00F1390D">
            <w:pPr>
              <w:rPr>
                <w:rFonts w:ascii="Arial" w:hAnsi="Arial"/>
              </w:rPr>
            </w:pPr>
          </w:p>
          <w:p w14:paraId="094D1F65" w14:textId="1E8F7C04" w:rsidR="00F1390D" w:rsidRDefault="002106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Riders continue along the road and have right of way.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2D78" w14:textId="77777777" w:rsidR="00F1390D" w:rsidRDefault="00F1390D">
            <w:pPr>
              <w:jc w:val="center"/>
              <w:rPr>
                <w:rFonts w:ascii="Arial" w:hAnsi="Arial"/>
              </w:rPr>
            </w:pPr>
          </w:p>
          <w:p w14:paraId="776F553E" w14:textId="2874B174" w:rsidR="00F1390D" w:rsidRDefault="0021061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Medium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2716" w14:textId="77777777" w:rsidR="00F1390D" w:rsidRDefault="00F1390D">
            <w:pPr>
              <w:rPr>
                <w:rFonts w:ascii="Arial" w:hAnsi="Arial"/>
              </w:rPr>
            </w:pPr>
          </w:p>
          <w:p w14:paraId="23B61856" w14:textId="3E2C9E24" w:rsidR="00F1390D" w:rsidRDefault="002106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 placed opposite the junction of Church Place B3399 to warn drivers turning onto the Military Road A3055 of riders approaching.</w:t>
            </w:r>
          </w:p>
        </w:tc>
      </w:tr>
      <w:tr w:rsidR="0021061F" w14:paraId="31574B5D" w14:textId="77777777" w:rsidTr="00DF2B59">
        <w:trPr>
          <w:cantSplit/>
          <w:trHeight w:hRule="exact" w:val="1995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B5EE" w14:textId="77777777" w:rsidR="0021061F" w:rsidRDefault="0021061F">
            <w:pPr>
              <w:rPr>
                <w:rFonts w:ascii="Arial" w:hAnsi="Arial"/>
              </w:rPr>
            </w:pPr>
          </w:p>
          <w:p w14:paraId="115B08C0" w14:textId="28702D60" w:rsidR="0021061F" w:rsidRDefault="00806D1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11.9 km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F718" w14:textId="77777777" w:rsidR="0021061F" w:rsidRDefault="0021061F">
            <w:pPr>
              <w:rPr>
                <w:rFonts w:ascii="Arial" w:hAnsi="Arial" w:cs="Arial"/>
                <w:shd w:val="clear" w:color="auto" w:fill="FFFFFF"/>
              </w:rPr>
            </w:pPr>
          </w:p>
          <w:p w14:paraId="6C6B718F" w14:textId="260B5C4D" w:rsidR="004E38E2" w:rsidRDefault="006761A4">
            <w:pPr>
              <w:rPr>
                <w:rFonts w:ascii="Arial" w:hAnsi="Arial" w:cs="Arial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shd w:val="clear" w:color="auto" w:fill="FFFFFF"/>
              </w:rPr>
              <w:t>Riders</w:t>
            </w:r>
            <w:proofErr w:type="gram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4F5126">
              <w:rPr>
                <w:rFonts w:ascii="Arial" w:hAnsi="Arial" w:cs="Arial"/>
                <w:shd w:val="clear" w:color="auto" w:fill="FFFFFF"/>
              </w:rPr>
              <w:t xml:space="preserve">approach </w:t>
            </w:r>
            <w:proofErr w:type="spellStart"/>
            <w:r w:rsidR="004F5126">
              <w:rPr>
                <w:rFonts w:ascii="Arial" w:hAnsi="Arial" w:cs="Arial"/>
                <w:shd w:val="clear" w:color="auto" w:fill="FFFFFF"/>
              </w:rPr>
              <w:t>Blackgang</w:t>
            </w:r>
            <w:proofErr w:type="spellEnd"/>
            <w:r w:rsidR="004F5126">
              <w:rPr>
                <w:rFonts w:ascii="Arial" w:hAnsi="Arial" w:cs="Arial"/>
                <w:shd w:val="clear" w:color="auto" w:fill="FFFFFF"/>
              </w:rPr>
              <w:t xml:space="preserve"> roundabout</w:t>
            </w:r>
            <w:r w:rsidR="00116E61">
              <w:rPr>
                <w:rFonts w:ascii="Arial" w:hAnsi="Arial" w:cs="Arial"/>
                <w:shd w:val="clear" w:color="auto" w:fill="FFFFFF"/>
              </w:rPr>
              <w:t xml:space="preserve"> and take the 3</w:t>
            </w:r>
            <w:r w:rsidR="00116E61" w:rsidRPr="00116E61">
              <w:rPr>
                <w:rFonts w:ascii="Arial" w:hAnsi="Arial" w:cs="Arial"/>
                <w:shd w:val="clear" w:color="auto" w:fill="FFFFFF"/>
                <w:vertAlign w:val="superscript"/>
              </w:rPr>
              <w:t>rd</w:t>
            </w:r>
            <w:r w:rsidR="00116E61">
              <w:rPr>
                <w:rFonts w:ascii="Arial" w:hAnsi="Arial" w:cs="Arial"/>
                <w:shd w:val="clear" w:color="auto" w:fill="FFFFFF"/>
              </w:rPr>
              <w:t xml:space="preserve"> exit to descend back down Blythe Shute.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96F6" w14:textId="77777777" w:rsidR="0021061F" w:rsidRDefault="0021061F">
            <w:pPr>
              <w:rPr>
                <w:rFonts w:ascii="Arial" w:hAnsi="Arial"/>
              </w:rPr>
            </w:pPr>
          </w:p>
          <w:p w14:paraId="70F0638C" w14:textId="56C9DA50" w:rsidR="006761A4" w:rsidRDefault="00780C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Riders do not have right of way on the roundabout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5FEC" w14:textId="77777777" w:rsidR="0021061F" w:rsidRDefault="0021061F">
            <w:pPr>
              <w:jc w:val="center"/>
              <w:rPr>
                <w:rFonts w:ascii="Arial" w:hAnsi="Arial"/>
              </w:rPr>
            </w:pPr>
          </w:p>
          <w:p w14:paraId="5127E194" w14:textId="06E1CE49" w:rsidR="00780C5B" w:rsidRDefault="00780C5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Medium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0078" w14:textId="77777777" w:rsidR="0021061F" w:rsidRDefault="0021061F">
            <w:pPr>
              <w:rPr>
                <w:rFonts w:ascii="Arial" w:hAnsi="Arial"/>
              </w:rPr>
            </w:pPr>
          </w:p>
          <w:p w14:paraId="311B42BD" w14:textId="512EF514" w:rsidR="00780C5B" w:rsidRDefault="00780C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Marshal</w:t>
            </w:r>
            <w:r w:rsidR="00DE1A13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on the 1</w:t>
            </w:r>
            <w:r w:rsidRPr="00780C5B">
              <w:rPr>
                <w:rFonts w:ascii="Arial" w:hAnsi="Arial"/>
                <w:vertAlign w:val="superscript"/>
              </w:rPr>
              <w:t>st</w:t>
            </w:r>
            <w:r>
              <w:rPr>
                <w:rFonts w:ascii="Arial" w:hAnsi="Arial"/>
              </w:rPr>
              <w:t xml:space="preserve"> and 2</w:t>
            </w:r>
            <w:r w:rsidRPr="00780C5B">
              <w:rPr>
                <w:rFonts w:ascii="Arial" w:hAnsi="Arial"/>
                <w:vertAlign w:val="superscript"/>
              </w:rPr>
              <w:t>nd</w:t>
            </w:r>
            <w:r>
              <w:rPr>
                <w:rFonts w:ascii="Arial" w:hAnsi="Arial"/>
              </w:rPr>
              <w:t xml:space="preserve"> exits of the roundabout to direct riders.</w:t>
            </w:r>
          </w:p>
          <w:p w14:paraId="0205BE04" w14:textId="773F2334" w:rsidR="007C3D04" w:rsidRDefault="007C3D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Signs placed 50m from </w:t>
            </w:r>
            <w:r w:rsidR="00A21B12">
              <w:rPr>
                <w:rFonts w:ascii="Arial" w:hAnsi="Arial"/>
              </w:rPr>
              <w:t xml:space="preserve">each exit to </w:t>
            </w:r>
            <w:r w:rsidR="00DE1A13">
              <w:rPr>
                <w:rFonts w:ascii="Arial" w:hAnsi="Arial"/>
              </w:rPr>
              <w:t>make drivers aware of riders turning on the roundabout.</w:t>
            </w:r>
          </w:p>
        </w:tc>
      </w:tr>
      <w:tr w:rsidR="00DF2B59" w14:paraId="3142C4C2" w14:textId="77777777" w:rsidTr="00DF2B59">
        <w:trPr>
          <w:cantSplit/>
          <w:trHeight w:hRule="exact" w:val="1995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E441" w14:textId="77777777" w:rsidR="00DF2B59" w:rsidRDefault="00DF2B59" w:rsidP="00DF2B59">
            <w:pPr>
              <w:rPr>
                <w:rFonts w:ascii="Arial" w:hAnsi="Arial"/>
              </w:rPr>
            </w:pPr>
          </w:p>
          <w:p w14:paraId="5619C9D6" w14:textId="23681832" w:rsidR="00DF2B59" w:rsidRDefault="00806D12" w:rsidP="00DF2B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 km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EE0C" w14:textId="77777777" w:rsidR="00DF2B59" w:rsidRDefault="00DF2B59" w:rsidP="00DF2B59">
            <w:pPr>
              <w:rPr>
                <w:rFonts w:ascii="Arial" w:hAnsi="Arial" w:cs="Arial"/>
                <w:shd w:val="clear" w:color="auto" w:fill="FFFFFF"/>
              </w:rPr>
            </w:pPr>
          </w:p>
          <w:p w14:paraId="3661045D" w14:textId="6B1F1F87" w:rsidR="00DF2B59" w:rsidRDefault="00DF2B59" w:rsidP="00DF2B59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Riders continue along the Military Road A3055 past the junction with Church Place B3399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E274" w14:textId="77777777" w:rsidR="00DF2B59" w:rsidRDefault="00DF2B59" w:rsidP="00DF2B59">
            <w:pPr>
              <w:rPr>
                <w:rFonts w:ascii="Arial" w:hAnsi="Arial"/>
              </w:rPr>
            </w:pPr>
          </w:p>
          <w:p w14:paraId="42F133A9" w14:textId="63E88422" w:rsidR="00DF2B59" w:rsidRDefault="00DF2B59" w:rsidP="00DF2B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Riders continue along the road and have right of way.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0043" w14:textId="77777777" w:rsidR="00DF2B59" w:rsidRDefault="00DF2B59" w:rsidP="00DF2B59">
            <w:pPr>
              <w:jc w:val="center"/>
              <w:rPr>
                <w:rFonts w:ascii="Arial" w:hAnsi="Arial"/>
              </w:rPr>
            </w:pPr>
          </w:p>
          <w:p w14:paraId="3A57A5FF" w14:textId="35710A78" w:rsidR="00DF2B59" w:rsidRDefault="00DF2B59" w:rsidP="00DF2B5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Medium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684C" w14:textId="77777777" w:rsidR="00DF2B59" w:rsidRDefault="00DF2B59" w:rsidP="00DF2B59">
            <w:pPr>
              <w:rPr>
                <w:rFonts w:ascii="Arial" w:hAnsi="Arial"/>
              </w:rPr>
            </w:pPr>
          </w:p>
          <w:p w14:paraId="4F880C0A" w14:textId="66CD091E" w:rsidR="00DF2B59" w:rsidRDefault="00DF2B59" w:rsidP="00DF2B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 placed opposite the junction of Church Place B3399 to warn drivers turning onto the Military Road A3055 of riders approaching.</w:t>
            </w:r>
          </w:p>
        </w:tc>
      </w:tr>
      <w:tr w:rsidR="003C76AD" w14:paraId="4AF14590" w14:textId="77777777" w:rsidTr="00DF2B59">
        <w:trPr>
          <w:cantSplit/>
          <w:trHeight w:hRule="exact" w:val="1995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7247" w14:textId="77777777" w:rsidR="003C76AD" w:rsidRDefault="003C76AD" w:rsidP="003C76AD">
            <w:pPr>
              <w:rPr>
                <w:rFonts w:ascii="Arial" w:hAnsi="Arial"/>
              </w:rPr>
            </w:pPr>
          </w:p>
          <w:p w14:paraId="772F3091" w14:textId="04519163" w:rsidR="003C76AD" w:rsidRDefault="00806D12" w:rsidP="003C76A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20.9 km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C335" w14:textId="77777777" w:rsidR="003C76AD" w:rsidRDefault="003C76AD" w:rsidP="003C76AD">
            <w:pPr>
              <w:rPr>
                <w:rFonts w:ascii="Arial" w:hAnsi="Arial"/>
              </w:rPr>
            </w:pPr>
          </w:p>
          <w:p w14:paraId="686733A4" w14:textId="4A4196EE" w:rsidR="003C76AD" w:rsidRDefault="003C76AD" w:rsidP="003C76AD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/>
              </w:rPr>
              <w:t>Riders continue along the Military Road A3055 past the junction with New Road and the A3055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F7A9" w14:textId="77777777" w:rsidR="003C76AD" w:rsidRDefault="003C76AD" w:rsidP="003C76AD">
            <w:pPr>
              <w:rPr>
                <w:rFonts w:ascii="Arial" w:hAnsi="Arial"/>
              </w:rPr>
            </w:pPr>
          </w:p>
          <w:p w14:paraId="5A351C47" w14:textId="50F4E802" w:rsidR="003C76AD" w:rsidRDefault="003C76AD" w:rsidP="003C76A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Riders continue along the road and have right of way.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77DB" w14:textId="77777777" w:rsidR="003C76AD" w:rsidRDefault="003C76AD" w:rsidP="003C76AD">
            <w:pPr>
              <w:jc w:val="center"/>
              <w:rPr>
                <w:rFonts w:ascii="Arial" w:hAnsi="Arial"/>
              </w:rPr>
            </w:pPr>
          </w:p>
          <w:p w14:paraId="428AB9BE" w14:textId="5B83F24F" w:rsidR="003C76AD" w:rsidRDefault="003C76AD" w:rsidP="003C76A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Medium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B429" w14:textId="77777777" w:rsidR="003C76AD" w:rsidRDefault="003C76AD" w:rsidP="003C76AD">
            <w:pPr>
              <w:rPr>
                <w:rFonts w:ascii="Arial" w:hAnsi="Arial"/>
              </w:rPr>
            </w:pPr>
          </w:p>
          <w:p w14:paraId="5F0481B7" w14:textId="73538593" w:rsidR="003C76AD" w:rsidRDefault="003C76AD" w:rsidP="003C76A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 placed opposite the junction of New Road to warn drivers turning onto the Military Road A3055 of riders approaching</w:t>
            </w:r>
          </w:p>
        </w:tc>
      </w:tr>
      <w:tr w:rsidR="003C76AD" w14:paraId="72B19119" w14:textId="77777777" w:rsidTr="00DF2B59">
        <w:trPr>
          <w:cantSplit/>
          <w:trHeight w:hRule="exact" w:val="1995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5359" w14:textId="77777777" w:rsidR="003C76AD" w:rsidRDefault="003C76AD" w:rsidP="003C76AD">
            <w:pPr>
              <w:rPr>
                <w:rFonts w:ascii="Arial" w:hAnsi="Arial"/>
              </w:rPr>
            </w:pPr>
          </w:p>
          <w:p w14:paraId="58F2891E" w14:textId="68FD15AC" w:rsidR="00E66A20" w:rsidRDefault="00D46DC7" w:rsidP="003C76A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24.5 km</w:t>
            </w:r>
          </w:p>
          <w:p w14:paraId="22B0AF76" w14:textId="77777777" w:rsidR="00D46DC7" w:rsidRPr="00D46DC7" w:rsidRDefault="00D46DC7" w:rsidP="00D46DC7">
            <w:pPr>
              <w:rPr>
                <w:rFonts w:ascii="Arial" w:hAnsi="Arial"/>
              </w:rPr>
            </w:pPr>
          </w:p>
          <w:p w14:paraId="53B721EA" w14:textId="7DFB436E" w:rsidR="00D46DC7" w:rsidRPr="00D46DC7" w:rsidRDefault="00D46DC7" w:rsidP="00D46DC7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1F0D" w14:textId="77777777" w:rsidR="003C76AD" w:rsidRDefault="003C76AD" w:rsidP="003C76AD">
            <w:pPr>
              <w:rPr>
                <w:rFonts w:ascii="Arial" w:hAnsi="Arial" w:cs="Arial"/>
                <w:shd w:val="clear" w:color="auto" w:fill="FFFFFF"/>
              </w:rPr>
            </w:pPr>
          </w:p>
          <w:p w14:paraId="339CF2DD" w14:textId="4B389D78" w:rsidR="00E66A20" w:rsidRDefault="00E66A20" w:rsidP="003C76AD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Riders </w:t>
            </w:r>
            <w:r w:rsidR="00D35F2E">
              <w:rPr>
                <w:rFonts w:ascii="Arial" w:hAnsi="Arial" w:cs="Arial"/>
                <w:shd w:val="clear" w:color="auto" w:fill="FFFFFF"/>
              </w:rPr>
              <w:t>continue along the Military Road A3055 past the junction with Brook Village Road and the A3055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AE8" w14:textId="77777777" w:rsidR="003C76AD" w:rsidRDefault="003C76AD" w:rsidP="003C76AD">
            <w:pPr>
              <w:rPr>
                <w:rFonts w:ascii="Arial" w:hAnsi="Arial"/>
              </w:rPr>
            </w:pPr>
          </w:p>
          <w:p w14:paraId="271DCE7F" w14:textId="2FD206A9" w:rsidR="00D35F2E" w:rsidRDefault="00D35F2E" w:rsidP="003C76A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Riders cont</w:t>
            </w:r>
            <w:r w:rsidR="00543880">
              <w:rPr>
                <w:rFonts w:ascii="Arial" w:hAnsi="Arial"/>
              </w:rPr>
              <w:t xml:space="preserve">inue along the road and have right of way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F109" w14:textId="77777777" w:rsidR="003C76AD" w:rsidRDefault="003C76AD" w:rsidP="003C76AD">
            <w:pPr>
              <w:jc w:val="center"/>
              <w:rPr>
                <w:rFonts w:ascii="Arial" w:hAnsi="Arial"/>
              </w:rPr>
            </w:pPr>
          </w:p>
          <w:p w14:paraId="3D87992E" w14:textId="26390A41" w:rsidR="00543880" w:rsidRDefault="00605DE5" w:rsidP="003C76A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Medium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843A" w14:textId="77777777" w:rsidR="003C76AD" w:rsidRDefault="003C76AD" w:rsidP="003C76AD">
            <w:pPr>
              <w:rPr>
                <w:rFonts w:ascii="Arial" w:hAnsi="Arial"/>
              </w:rPr>
            </w:pPr>
          </w:p>
          <w:p w14:paraId="160C58A6" w14:textId="32ED2312" w:rsidR="00605DE5" w:rsidRDefault="00605DE5" w:rsidP="003C76A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 placed opposite the junction of Brook Village Road to warn drivers turning onto the Military Road A3055 of riders approaching</w:t>
            </w:r>
          </w:p>
        </w:tc>
      </w:tr>
      <w:tr w:rsidR="003C76AD" w14:paraId="6E2C38FF" w14:textId="77777777" w:rsidTr="00DF2B59">
        <w:trPr>
          <w:cantSplit/>
          <w:trHeight w:hRule="exact" w:val="1995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BC33" w14:textId="77777777" w:rsidR="003C76AD" w:rsidRDefault="003C76AD" w:rsidP="003C76AD">
            <w:pPr>
              <w:rPr>
                <w:rFonts w:ascii="Arial" w:hAnsi="Arial"/>
              </w:rPr>
            </w:pPr>
          </w:p>
          <w:p w14:paraId="4906511D" w14:textId="1C61F274" w:rsidR="00605DE5" w:rsidRDefault="00D46DC7" w:rsidP="003C76A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 km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77CD" w14:textId="77777777" w:rsidR="003C76AD" w:rsidRDefault="003C76AD" w:rsidP="003C76AD">
            <w:pPr>
              <w:rPr>
                <w:rFonts w:ascii="Arial" w:hAnsi="Arial" w:cs="Arial"/>
                <w:shd w:val="clear" w:color="auto" w:fill="FFFFFF"/>
              </w:rPr>
            </w:pPr>
          </w:p>
          <w:p w14:paraId="12629543" w14:textId="6C8B43AF" w:rsidR="00EA3AC1" w:rsidRDefault="00EA3AC1" w:rsidP="003C76AD">
            <w:pPr>
              <w:rPr>
                <w:rFonts w:ascii="Arial" w:hAnsi="Arial" w:cs="Arial"/>
                <w:shd w:val="clear" w:color="auto" w:fill="FFFFFF"/>
              </w:rPr>
            </w:pPr>
            <w:r w:rsidRPr="00254D9B">
              <w:rPr>
                <w:rFonts w:ascii="Arial" w:hAnsi="Arial" w:cs="Arial"/>
                <w:b/>
                <w:bCs/>
                <w:shd w:val="clear" w:color="auto" w:fill="FFFFFF"/>
              </w:rPr>
              <w:t>FINISH</w:t>
            </w:r>
            <w:r>
              <w:rPr>
                <w:rFonts w:ascii="Arial" w:hAnsi="Arial" w:cs="Arial"/>
                <w:shd w:val="clear" w:color="auto" w:fill="FFFFFF"/>
              </w:rPr>
              <w:t xml:space="preserve">: On the Military Road A3055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40BB" w14:textId="77777777" w:rsidR="003C76AD" w:rsidRDefault="003C76AD" w:rsidP="003C76AD">
            <w:pPr>
              <w:rPr>
                <w:rFonts w:ascii="Arial" w:hAnsi="Arial"/>
              </w:rPr>
            </w:pPr>
          </w:p>
          <w:p w14:paraId="6B04E901" w14:textId="5B3F2977" w:rsidR="00EA3AC1" w:rsidRDefault="00EA3AC1" w:rsidP="003C76A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Riders finishing in the road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7B05" w14:textId="77777777" w:rsidR="003C76AD" w:rsidRDefault="003C76AD" w:rsidP="003C76AD">
            <w:pPr>
              <w:jc w:val="center"/>
              <w:rPr>
                <w:rFonts w:ascii="Arial" w:hAnsi="Arial"/>
              </w:rPr>
            </w:pPr>
          </w:p>
          <w:p w14:paraId="366BB803" w14:textId="15BC3F09" w:rsidR="00EA3AC1" w:rsidRDefault="00EA3AC1" w:rsidP="003C76A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Low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ADC3" w14:textId="77777777" w:rsidR="003C76AD" w:rsidRDefault="003C76AD" w:rsidP="003C76AD">
            <w:pPr>
              <w:rPr>
                <w:rFonts w:ascii="Arial" w:hAnsi="Arial"/>
              </w:rPr>
            </w:pPr>
          </w:p>
          <w:p w14:paraId="5D7F0D40" w14:textId="2B5DC674" w:rsidR="00EA3AC1" w:rsidRDefault="00FE7E73" w:rsidP="003C76A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Riders will be instructed when signing on to continue along the Military Road</w:t>
            </w:r>
            <w:r w:rsidR="00C41317">
              <w:rPr>
                <w:rFonts w:ascii="Arial" w:hAnsi="Arial"/>
              </w:rPr>
              <w:t xml:space="preserve"> </w:t>
            </w:r>
            <w:r w:rsidR="00D46DC7">
              <w:rPr>
                <w:rFonts w:ascii="Arial" w:hAnsi="Arial"/>
              </w:rPr>
              <w:t>to the</w:t>
            </w:r>
            <w:r w:rsidR="00C41317">
              <w:rPr>
                <w:rFonts w:ascii="Arial" w:hAnsi="Arial"/>
              </w:rPr>
              <w:t xml:space="preserve"> Compton Bay car park</w:t>
            </w:r>
            <w:r w:rsidR="00AC5A85">
              <w:rPr>
                <w:rFonts w:ascii="Arial" w:hAnsi="Arial"/>
              </w:rPr>
              <w:t xml:space="preserve"> </w:t>
            </w:r>
            <w:r w:rsidR="005C36DD">
              <w:rPr>
                <w:rFonts w:ascii="Arial" w:hAnsi="Arial"/>
              </w:rPr>
              <w:t xml:space="preserve">to turn </w:t>
            </w:r>
            <w:r w:rsidR="00AC5A85">
              <w:rPr>
                <w:rFonts w:ascii="Arial" w:hAnsi="Arial"/>
              </w:rPr>
              <w:t>before returning to the HQ</w:t>
            </w:r>
            <w:r w:rsidR="006F45C6">
              <w:rPr>
                <w:rFonts w:ascii="Arial" w:hAnsi="Arial"/>
              </w:rPr>
              <w:t>.</w:t>
            </w:r>
          </w:p>
        </w:tc>
      </w:tr>
    </w:tbl>
    <w:p w14:paraId="262E638E" w14:textId="77777777" w:rsidR="00F1390D" w:rsidRDefault="00F1390D" w:rsidP="00F1390D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F1390D" w14:paraId="191626BE" w14:textId="77777777" w:rsidTr="00F1390D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FEDF" w14:textId="77777777" w:rsidR="00F1390D" w:rsidRDefault="00F1390D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14:paraId="1A17AB5F" w14:textId="77777777" w:rsidR="00F1390D" w:rsidRDefault="00F1390D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 w14:paraId="01D90897" w14:textId="77777777" w:rsidR="00F1390D" w:rsidRDefault="00F1390D" w:rsidP="00F1390D">
      <w:pPr>
        <w:rPr>
          <w:rFonts w:ascii="Arial" w:hAnsi="Arial"/>
          <w:color w:val="0000FF"/>
          <w:sz w:val="16"/>
          <w:szCs w:val="16"/>
        </w:rPr>
      </w:pPr>
    </w:p>
    <w:p w14:paraId="7E2B39DB" w14:textId="0DC9F062" w:rsidR="00F1390D" w:rsidRDefault="00F1390D" w:rsidP="00F1390D">
      <w:pPr>
        <w:rPr>
          <w:rFonts w:ascii="Arial" w:hAnsi="Arial"/>
          <w:b/>
          <w:sz w:val="16"/>
          <w:szCs w:val="16"/>
        </w:rPr>
      </w:pPr>
      <w:r>
        <w:rPr>
          <w:rFonts w:ascii="Arial" w:hAnsi="Arial" w:cs="Arial"/>
          <w:b/>
        </w:rPr>
        <w:t xml:space="preserve">Date of original assessment: </w:t>
      </w:r>
      <w:r w:rsidR="006F45C6">
        <w:rPr>
          <w:rFonts w:ascii="Arial" w:hAnsi="Arial" w:cs="Arial"/>
          <w:b/>
        </w:rPr>
        <w:t>19/10/2021</w:t>
      </w:r>
    </w:p>
    <w:p w14:paraId="5A3BA77D" w14:textId="77777777" w:rsidR="009425D6" w:rsidRDefault="009425D6"/>
    <w:sectPr w:rsidR="009425D6" w:rsidSect="00472D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D6"/>
    <w:rsid w:val="000047C3"/>
    <w:rsid w:val="00090572"/>
    <w:rsid w:val="00102352"/>
    <w:rsid w:val="00116E61"/>
    <w:rsid w:val="00181581"/>
    <w:rsid w:val="001C6A76"/>
    <w:rsid w:val="0021061F"/>
    <w:rsid w:val="00250E69"/>
    <w:rsid w:val="00254D9B"/>
    <w:rsid w:val="002A3EE1"/>
    <w:rsid w:val="00301FE5"/>
    <w:rsid w:val="00347156"/>
    <w:rsid w:val="00393FB4"/>
    <w:rsid w:val="003B2916"/>
    <w:rsid w:val="003C76AD"/>
    <w:rsid w:val="00472D81"/>
    <w:rsid w:val="004E38E2"/>
    <w:rsid w:val="004F5126"/>
    <w:rsid w:val="005115DF"/>
    <w:rsid w:val="00543880"/>
    <w:rsid w:val="00566443"/>
    <w:rsid w:val="005C36DD"/>
    <w:rsid w:val="005E3CFB"/>
    <w:rsid w:val="00605DE5"/>
    <w:rsid w:val="006761A4"/>
    <w:rsid w:val="00690EE3"/>
    <w:rsid w:val="00694D9B"/>
    <w:rsid w:val="006F45C6"/>
    <w:rsid w:val="00780C5B"/>
    <w:rsid w:val="007B6513"/>
    <w:rsid w:val="007C3D04"/>
    <w:rsid w:val="00806D12"/>
    <w:rsid w:val="0084419B"/>
    <w:rsid w:val="008E3E89"/>
    <w:rsid w:val="00933A77"/>
    <w:rsid w:val="009425D6"/>
    <w:rsid w:val="009B0853"/>
    <w:rsid w:val="00A03F4D"/>
    <w:rsid w:val="00A21B12"/>
    <w:rsid w:val="00A26E9C"/>
    <w:rsid w:val="00A64E62"/>
    <w:rsid w:val="00AC5A85"/>
    <w:rsid w:val="00B50924"/>
    <w:rsid w:val="00C23E8E"/>
    <w:rsid w:val="00C41317"/>
    <w:rsid w:val="00C567B1"/>
    <w:rsid w:val="00CA29D1"/>
    <w:rsid w:val="00D35F2E"/>
    <w:rsid w:val="00D46DC7"/>
    <w:rsid w:val="00D67C1B"/>
    <w:rsid w:val="00DC4528"/>
    <w:rsid w:val="00DD31A4"/>
    <w:rsid w:val="00DE1A13"/>
    <w:rsid w:val="00DF2B59"/>
    <w:rsid w:val="00E66A20"/>
    <w:rsid w:val="00EA3AC1"/>
    <w:rsid w:val="00F1390D"/>
    <w:rsid w:val="00F9662F"/>
    <w:rsid w:val="00FC0502"/>
    <w:rsid w:val="00FE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5886A"/>
  <w15:chartTrackingRefBased/>
  <w15:docId w15:val="{6F8B6477-547F-4472-B85B-35D3FEA6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1390D"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1390D"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1390D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1390D"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390D"/>
    <w:rPr>
      <w:rFonts w:ascii="Arial" w:eastAsia="Times New Roman" w:hAnsi="Arial" w:cs="Times New Roman"/>
      <w:b/>
      <w:sz w:val="36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F1390D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F1390D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F1390D"/>
    <w:rPr>
      <w:rFonts w:ascii="Arial" w:eastAsia="Times New Roman" w:hAnsi="Arial" w:cs="Times New Roman"/>
      <w:b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3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Martin Balk</cp:lastModifiedBy>
  <cp:revision>61</cp:revision>
  <cp:lastPrinted>2021-10-26T15:44:00Z</cp:lastPrinted>
  <dcterms:created xsi:type="dcterms:W3CDTF">2021-10-26T15:00:00Z</dcterms:created>
  <dcterms:modified xsi:type="dcterms:W3CDTF">2021-11-20T11:55:00Z</dcterms:modified>
</cp:coreProperties>
</file>