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5738" w14:textId="77777777" w:rsidR="00125CF0" w:rsidRDefault="00125C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1"/>
        <w:tblW w:w="10173" w:type="dxa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125CF0" w14:paraId="18BF0A7F" w14:textId="77777777">
        <w:trPr>
          <w:trHeight w:val="1702"/>
        </w:trPr>
        <w:tc>
          <w:tcPr>
            <w:tcW w:w="5070" w:type="dxa"/>
          </w:tcPr>
          <w:p w14:paraId="70F5DCDA" w14:textId="77777777" w:rsidR="00125CF0" w:rsidRDefault="00640448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noProof/>
                <w:sz w:val="36"/>
                <w:szCs w:val="36"/>
              </w:rPr>
              <w:drawing>
                <wp:inline distT="0" distB="0" distL="0" distR="0" wp14:anchorId="45DC6EC0" wp14:editId="3491A267">
                  <wp:extent cx="1190625" cy="1009650"/>
                  <wp:effectExtent l="0" t="0" r="0" b="0"/>
                  <wp:docPr id="5" name="image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23268B69" w14:textId="77777777" w:rsidR="00125CF0" w:rsidRDefault="00640448">
            <w:pPr>
              <w:pStyle w:val="Heading1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Risk Assessment</w:t>
            </w:r>
          </w:p>
        </w:tc>
      </w:tr>
      <w:tr w:rsidR="00125CF0" w14:paraId="5352ECA5" w14:textId="77777777">
        <w:trPr>
          <w:trHeight w:val="440"/>
        </w:trPr>
        <w:tc>
          <w:tcPr>
            <w:tcW w:w="5070" w:type="dxa"/>
            <w:vAlign w:val="center"/>
          </w:tcPr>
          <w:p w14:paraId="74026B52" w14:textId="77777777" w:rsidR="00125CF0" w:rsidRDefault="00125CF0">
            <w:pPr>
              <w:rPr>
                <w:rFonts w:ascii="Arial" w:eastAsia="Arial" w:hAnsi="Arial" w:cs="Arial"/>
                <w:b/>
              </w:rPr>
            </w:pPr>
          </w:p>
          <w:p w14:paraId="1BDC2A0B" w14:textId="77777777" w:rsidR="00125CF0" w:rsidRDefault="0064044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Course/Road(s) Assessed:   A966   </w:t>
            </w:r>
          </w:p>
        </w:tc>
        <w:tc>
          <w:tcPr>
            <w:tcW w:w="5103" w:type="dxa"/>
          </w:tcPr>
          <w:p w14:paraId="61163EC7" w14:textId="18B757F8" w:rsidR="001862B7" w:rsidRDefault="0064044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Course: </w:t>
            </w:r>
            <w:r w:rsidR="00326310">
              <w:rPr>
                <w:rFonts w:ascii="Arial" w:eastAsia="Arial" w:hAnsi="Arial" w:cs="Arial"/>
                <w:b/>
              </w:rPr>
              <w:t>Norseman/</w:t>
            </w:r>
            <w:r w:rsidR="001862B7">
              <w:rPr>
                <w:rFonts w:ascii="Arial" w:eastAsia="Arial" w:hAnsi="Arial" w:cs="Arial"/>
                <w:b/>
              </w:rPr>
              <w:t>Swannay/</w:t>
            </w:r>
            <w:r>
              <w:rPr>
                <w:rFonts w:ascii="Arial" w:eastAsia="Arial" w:hAnsi="Arial" w:cs="Arial"/>
                <w:b/>
              </w:rPr>
              <w:t xml:space="preserve">Firth </w:t>
            </w:r>
            <w:r w:rsidR="00326310">
              <w:rPr>
                <w:rFonts w:ascii="Arial" w:eastAsia="Arial" w:hAnsi="Arial" w:cs="Arial"/>
                <w:b/>
              </w:rPr>
              <w:t>25</w:t>
            </w:r>
            <w:r>
              <w:rPr>
                <w:rFonts w:ascii="Arial" w:eastAsia="Arial" w:hAnsi="Arial" w:cs="Arial"/>
                <w:b/>
              </w:rPr>
              <w:t xml:space="preserve">TT    </w:t>
            </w:r>
          </w:p>
          <w:p w14:paraId="6845A835" w14:textId="67BEAB1D" w:rsidR="00125CF0" w:rsidRDefault="001862B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</w:t>
            </w:r>
            <w:r w:rsidR="00640448">
              <w:rPr>
                <w:rFonts w:ascii="Arial" w:eastAsia="Arial" w:hAnsi="Arial" w:cs="Arial"/>
                <w:b/>
              </w:rPr>
              <w:t>WN</w:t>
            </w:r>
            <w:r w:rsidR="00326310">
              <w:rPr>
                <w:rFonts w:ascii="Arial" w:eastAsia="Arial" w:hAnsi="Arial" w:cs="Arial"/>
                <w:b/>
              </w:rPr>
              <w:t>25</w:t>
            </w:r>
            <w:r w:rsidR="00640448">
              <w:rPr>
                <w:rFonts w:ascii="Arial" w:eastAsia="Arial" w:hAnsi="Arial" w:cs="Arial"/>
                <w:b/>
              </w:rPr>
              <w:t>/0</w:t>
            </w:r>
            <w:r w:rsidR="00326310">
              <w:rPr>
                <w:rFonts w:ascii="Arial" w:eastAsia="Arial" w:hAnsi="Arial" w:cs="Arial"/>
                <w:b/>
              </w:rPr>
              <w:t>4</w:t>
            </w:r>
          </w:p>
        </w:tc>
      </w:tr>
      <w:tr w:rsidR="00125CF0" w14:paraId="7D202E1E" w14:textId="77777777">
        <w:trPr>
          <w:trHeight w:val="440"/>
        </w:trPr>
        <w:tc>
          <w:tcPr>
            <w:tcW w:w="5070" w:type="dxa"/>
            <w:vAlign w:val="center"/>
          </w:tcPr>
          <w:p w14:paraId="2F4D454B" w14:textId="77777777" w:rsidR="00125CF0" w:rsidRDefault="00125CF0">
            <w:pPr>
              <w:pStyle w:val="Heading2"/>
              <w:rPr>
                <w:b/>
                <w:sz w:val="20"/>
                <w:szCs w:val="20"/>
              </w:rPr>
            </w:pPr>
          </w:p>
          <w:p w14:paraId="42680F6F" w14:textId="0D45014D" w:rsidR="00125CF0" w:rsidRDefault="00640448">
            <w:pPr>
              <w:pStyle w:val="Heading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of Assessment/Review: </w:t>
            </w:r>
            <w:r w:rsidR="0032631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0/0</w:t>
            </w:r>
            <w:r w:rsidR="00326310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/202</w:t>
            </w:r>
            <w:r w:rsidR="0032631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14:paraId="2D24F037" w14:textId="199C29CD" w:rsidR="00125CF0" w:rsidRDefault="0064044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of Assessor</w:t>
            </w:r>
            <w:r w:rsidR="00326310">
              <w:rPr>
                <w:rFonts w:ascii="Arial" w:eastAsia="Arial" w:hAnsi="Arial" w:cs="Arial"/>
                <w:b/>
              </w:rPr>
              <w:t>: NEIL MOSS</w:t>
            </w:r>
          </w:p>
        </w:tc>
      </w:tr>
    </w:tbl>
    <w:p w14:paraId="56962152" w14:textId="77777777" w:rsidR="00125CF0" w:rsidRDefault="00125CF0">
      <w:pPr>
        <w:rPr>
          <w:rFonts w:ascii="Arial" w:eastAsia="Arial" w:hAnsi="Arial" w:cs="Arial"/>
          <w:sz w:val="36"/>
          <w:szCs w:val="36"/>
        </w:rPr>
      </w:pPr>
    </w:p>
    <w:p w14:paraId="58891A55" w14:textId="77777777" w:rsidR="00125CF0" w:rsidRDefault="00125CF0">
      <w:pPr>
        <w:rPr>
          <w:rFonts w:ascii="Arial" w:eastAsia="Arial" w:hAnsi="Arial" w:cs="Arial"/>
          <w:sz w:val="36"/>
          <w:szCs w:val="36"/>
        </w:rPr>
      </w:pPr>
    </w:p>
    <w:tbl>
      <w:tblPr>
        <w:tblStyle w:val="Table2"/>
        <w:tblW w:w="10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94"/>
      </w:tblGrid>
      <w:tr w:rsidR="00125CF0" w14:paraId="669CCC12" w14:textId="77777777">
        <w:tc>
          <w:tcPr>
            <w:tcW w:w="10194" w:type="dxa"/>
            <w:shd w:val="clear" w:color="auto" w:fill="auto"/>
          </w:tcPr>
          <w:p w14:paraId="1EC41D07" w14:textId="77777777" w:rsidR="00125CF0" w:rsidRDefault="00125CF0">
            <w:pPr>
              <w:rPr>
                <w:rFonts w:ascii="Arial" w:eastAsia="Arial" w:hAnsi="Arial" w:cs="Arial"/>
                <w:b/>
              </w:rPr>
            </w:pPr>
          </w:p>
          <w:p w14:paraId="649A4977" w14:textId="5F337759" w:rsidR="00125CF0" w:rsidRPr="0075301A" w:rsidRDefault="00640448" w:rsidP="0075301A">
            <w:pPr>
              <w:rPr>
                <w:rFonts w:ascii="Arial" w:eastAsia="Arial" w:hAnsi="Arial" w:cs="Arial"/>
                <w:highlight w:val="white"/>
              </w:rPr>
            </w:pPr>
            <w:r w:rsidRPr="0075301A">
              <w:rPr>
                <w:rFonts w:ascii="Arial" w:eastAsia="Arial" w:hAnsi="Arial" w:cs="Arial"/>
                <w:b/>
              </w:rPr>
              <w:t xml:space="preserve">Course Description:  </w:t>
            </w:r>
            <w:r w:rsidRPr="0075301A">
              <w:rPr>
                <w:rFonts w:ascii="Arial" w:eastAsia="Arial" w:hAnsi="Arial" w:cs="Arial"/>
                <w:highlight w:val="white"/>
              </w:rPr>
              <w:t xml:space="preserve">Start on A966 </w:t>
            </w:r>
            <w:r w:rsidR="00326310" w:rsidRPr="0075301A">
              <w:rPr>
                <w:rFonts w:ascii="Arial" w:eastAsia="Arial" w:hAnsi="Arial" w:cs="Arial"/>
                <w:highlight w:val="white"/>
              </w:rPr>
              <w:t xml:space="preserve">in Norseman Village, </w:t>
            </w:r>
            <w:r w:rsidRPr="0075301A">
              <w:rPr>
                <w:rFonts w:ascii="Arial" w:eastAsia="Arial" w:hAnsi="Arial" w:cs="Arial"/>
                <w:highlight w:val="white"/>
              </w:rPr>
              <w:t>approximately 1</w:t>
            </w:r>
            <w:r w:rsidR="00326310" w:rsidRPr="0075301A">
              <w:rPr>
                <w:rFonts w:ascii="Arial" w:eastAsia="Arial" w:hAnsi="Arial" w:cs="Arial"/>
                <w:highlight w:val="white"/>
              </w:rPr>
              <w:t>0</w:t>
            </w:r>
            <w:r w:rsidRPr="0075301A">
              <w:rPr>
                <w:rFonts w:ascii="Arial" w:eastAsia="Arial" w:hAnsi="Arial" w:cs="Arial"/>
                <w:highlight w:val="white"/>
              </w:rPr>
              <w:t xml:space="preserve">0 yards </w:t>
            </w:r>
            <w:r w:rsidR="00326310" w:rsidRPr="0075301A">
              <w:rPr>
                <w:rFonts w:ascii="Arial" w:eastAsia="Arial" w:hAnsi="Arial" w:cs="Arial"/>
                <w:highlight w:val="white"/>
              </w:rPr>
              <w:t xml:space="preserve">south of Lyde Road junction, in the layby on the Northbound carriageway. </w:t>
            </w:r>
            <w:r w:rsidRPr="0075301A">
              <w:rPr>
                <w:rFonts w:ascii="Arial" w:eastAsia="Arial" w:hAnsi="Arial" w:cs="Arial"/>
                <w:highlight w:val="white"/>
              </w:rPr>
              <w:t xml:space="preserve">Proceed North on the A966 for </w:t>
            </w:r>
            <w:r w:rsidR="00326310" w:rsidRPr="0075301A">
              <w:rPr>
                <w:rFonts w:ascii="Arial" w:eastAsia="Arial" w:hAnsi="Arial" w:cs="Arial"/>
                <w:highlight w:val="white"/>
              </w:rPr>
              <w:t>11</w:t>
            </w:r>
            <w:r w:rsidRPr="0075301A">
              <w:rPr>
                <w:rFonts w:ascii="Arial" w:eastAsia="Arial" w:hAnsi="Arial" w:cs="Arial"/>
                <w:highlight w:val="white"/>
              </w:rPr>
              <w:t>.1 miles</w:t>
            </w:r>
            <w:r w:rsidR="00326310" w:rsidRPr="0075301A">
              <w:rPr>
                <w:rFonts w:ascii="Arial" w:eastAsia="Arial" w:hAnsi="Arial" w:cs="Arial"/>
                <w:highlight w:val="white"/>
              </w:rPr>
              <w:t xml:space="preserve"> to the white pillar at the Southern end of the Swannay Brewery parking spaces. </w:t>
            </w:r>
            <w:r w:rsidRPr="0075301A">
              <w:rPr>
                <w:rFonts w:ascii="Arial" w:eastAsia="Arial" w:hAnsi="Arial" w:cs="Arial"/>
                <w:highlight w:val="white"/>
              </w:rPr>
              <w:t xml:space="preserve">Retrace on the A966 for </w:t>
            </w:r>
            <w:r w:rsidR="00326310" w:rsidRPr="0075301A">
              <w:rPr>
                <w:rFonts w:ascii="Arial" w:eastAsia="Arial" w:hAnsi="Arial" w:cs="Arial"/>
                <w:highlight w:val="white"/>
              </w:rPr>
              <w:t>13</w:t>
            </w:r>
            <w:r w:rsidRPr="0075301A">
              <w:rPr>
                <w:rFonts w:ascii="Arial" w:eastAsia="Arial" w:hAnsi="Arial" w:cs="Arial"/>
                <w:highlight w:val="white"/>
              </w:rPr>
              <w:t>.</w:t>
            </w:r>
            <w:r w:rsidR="00326310" w:rsidRPr="0075301A">
              <w:rPr>
                <w:rFonts w:ascii="Arial" w:eastAsia="Arial" w:hAnsi="Arial" w:cs="Arial"/>
                <w:highlight w:val="white"/>
              </w:rPr>
              <w:t>7</w:t>
            </w:r>
            <w:r w:rsidRPr="0075301A">
              <w:rPr>
                <w:rFonts w:ascii="Arial" w:eastAsia="Arial" w:hAnsi="Arial" w:cs="Arial"/>
                <w:highlight w:val="white"/>
              </w:rPr>
              <w:t xml:space="preserve"> miles</w:t>
            </w:r>
            <w:r w:rsidR="0075301A" w:rsidRPr="0075301A">
              <w:rPr>
                <w:rFonts w:ascii="Arial" w:eastAsia="Arial" w:hAnsi="Arial" w:cs="Arial"/>
                <w:highlight w:val="white"/>
              </w:rPr>
              <w:t xml:space="preserve">, past the Start, </w:t>
            </w:r>
            <w:r w:rsidRPr="0075301A">
              <w:rPr>
                <w:rFonts w:ascii="Arial" w:eastAsia="Arial" w:hAnsi="Arial" w:cs="Arial"/>
                <w:highlight w:val="white"/>
              </w:rPr>
              <w:t xml:space="preserve">to Finish at the Firth Primary School junction. </w:t>
            </w:r>
          </w:p>
          <w:p w14:paraId="552571EA" w14:textId="77777777" w:rsidR="00125CF0" w:rsidRDefault="00125CF0">
            <w:pPr>
              <w:rPr>
                <w:rFonts w:ascii="Arial" w:eastAsia="Arial" w:hAnsi="Arial" w:cs="Arial"/>
                <w:b/>
              </w:rPr>
            </w:pPr>
          </w:p>
          <w:p w14:paraId="188FFAFF" w14:textId="77777777" w:rsidR="00125CF0" w:rsidRDefault="00125CF0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284DBAAA" w14:textId="77777777" w:rsidR="00125CF0" w:rsidRDefault="00125CF0">
      <w:pPr>
        <w:rPr>
          <w:rFonts w:ascii="Arial" w:eastAsia="Arial" w:hAnsi="Arial" w:cs="Arial"/>
          <w:sz w:val="16"/>
          <w:szCs w:val="16"/>
        </w:rPr>
      </w:pPr>
    </w:p>
    <w:tbl>
      <w:tblPr>
        <w:tblStyle w:val="Table3"/>
        <w:tblW w:w="10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94"/>
      </w:tblGrid>
      <w:tr w:rsidR="00125CF0" w14:paraId="4A636F8E" w14:textId="77777777">
        <w:trPr>
          <w:trHeight w:val="861"/>
        </w:trPr>
        <w:tc>
          <w:tcPr>
            <w:tcW w:w="10194" w:type="dxa"/>
            <w:shd w:val="clear" w:color="auto" w:fill="auto"/>
          </w:tcPr>
          <w:p w14:paraId="48FEC35B" w14:textId="77777777" w:rsidR="00125CF0" w:rsidRDefault="00125CF0">
            <w:pPr>
              <w:rPr>
                <w:rFonts w:ascii="Arial" w:eastAsia="Arial" w:hAnsi="Arial" w:cs="Arial"/>
                <w:b/>
              </w:rPr>
            </w:pPr>
          </w:p>
          <w:p w14:paraId="70994B5A" w14:textId="6B9184FF" w:rsidR="00125CF0" w:rsidRDefault="0064044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Traffic Flows:</w:t>
            </w:r>
            <w:r>
              <w:rPr>
                <w:rFonts w:ascii="Arial" w:eastAsia="Arial" w:hAnsi="Arial" w:cs="Arial"/>
              </w:rPr>
              <w:t xml:space="preserve"> Traffic is not expected to be busy </w:t>
            </w:r>
            <w:r w:rsidR="0075301A">
              <w:rPr>
                <w:rFonts w:ascii="Arial" w:eastAsia="Arial" w:hAnsi="Arial" w:cs="Arial"/>
              </w:rPr>
              <w:t xml:space="preserve">at </w:t>
            </w:r>
            <w:r>
              <w:rPr>
                <w:rFonts w:ascii="Arial" w:eastAsia="Arial" w:hAnsi="Arial" w:cs="Arial"/>
              </w:rPr>
              <w:t>mid</w:t>
            </w:r>
            <w:r w:rsidR="0075301A">
              <w:rPr>
                <w:rFonts w:ascii="Arial" w:eastAsia="Arial" w:hAnsi="Arial" w:cs="Arial"/>
              </w:rPr>
              <w:t>-day</w:t>
            </w:r>
            <w:r>
              <w:rPr>
                <w:rFonts w:ascii="Arial" w:eastAsia="Arial" w:hAnsi="Arial" w:cs="Arial"/>
              </w:rPr>
              <w:t>. All joining roads are minor and again not expected to be busy.</w:t>
            </w:r>
            <w:r w:rsidR="0075301A">
              <w:rPr>
                <w:rFonts w:ascii="Arial" w:eastAsia="Arial" w:hAnsi="Arial" w:cs="Arial"/>
              </w:rPr>
              <w:t xml:space="preserve"> </w:t>
            </w:r>
          </w:p>
          <w:p w14:paraId="746F63A5" w14:textId="77777777" w:rsidR="00AF3305" w:rsidRDefault="00AF3305">
            <w:pPr>
              <w:rPr>
                <w:rFonts w:ascii="Arial" w:eastAsia="Arial" w:hAnsi="Arial" w:cs="Arial"/>
              </w:rPr>
            </w:pPr>
          </w:p>
          <w:p w14:paraId="158FCE89" w14:textId="131F2B7B" w:rsidR="00AF3305" w:rsidRDefault="00AF330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30-minute vehicle count on the A966 at Rendall undertaken between 12:30 and 13:00 on 27/05/2023 counted a total of 41 vehicles, and traffic volumes are expected to be similar. </w:t>
            </w:r>
          </w:p>
          <w:p w14:paraId="43ECBEF8" w14:textId="77777777" w:rsidR="00125CF0" w:rsidRDefault="00125CF0">
            <w:pPr>
              <w:rPr>
                <w:rFonts w:ascii="Arial" w:eastAsia="Arial" w:hAnsi="Arial" w:cs="Arial"/>
              </w:rPr>
            </w:pPr>
          </w:p>
          <w:p w14:paraId="494DD7FA" w14:textId="77777777" w:rsidR="00125CF0" w:rsidRDefault="00125CF0">
            <w:pPr>
              <w:rPr>
                <w:rFonts w:ascii="Arial" w:eastAsia="Arial" w:hAnsi="Arial" w:cs="Arial"/>
              </w:rPr>
            </w:pPr>
          </w:p>
        </w:tc>
      </w:tr>
    </w:tbl>
    <w:p w14:paraId="63BB7D57" w14:textId="77777777" w:rsidR="00125CF0" w:rsidRDefault="00125CF0"/>
    <w:tbl>
      <w:tblPr>
        <w:tblStyle w:val="Table4"/>
        <w:tblW w:w="10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94"/>
      </w:tblGrid>
      <w:tr w:rsidR="00125CF0" w14:paraId="5205E3C8" w14:textId="77777777">
        <w:trPr>
          <w:trHeight w:val="956"/>
        </w:trPr>
        <w:tc>
          <w:tcPr>
            <w:tcW w:w="10194" w:type="dxa"/>
            <w:shd w:val="clear" w:color="auto" w:fill="auto"/>
          </w:tcPr>
          <w:p w14:paraId="2AC45BE2" w14:textId="77777777" w:rsidR="00125CF0" w:rsidRDefault="00125CF0">
            <w:pPr>
              <w:rPr>
                <w:rFonts w:ascii="Arial" w:eastAsia="Arial" w:hAnsi="Arial" w:cs="Arial"/>
                <w:b/>
              </w:rPr>
            </w:pPr>
          </w:p>
          <w:p w14:paraId="4A05A872" w14:textId="3472EE5F" w:rsidR="00125CF0" w:rsidRPr="0075301A" w:rsidRDefault="00640448">
            <w:pPr>
              <w:rPr>
                <w:rFonts w:ascii="Arial" w:eastAsia="Arial" w:hAnsi="Arial" w:cs="Arial"/>
                <w:bCs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 xml:space="preserve">Course/Event History: </w:t>
            </w:r>
            <w:r w:rsidR="0075301A" w:rsidRPr="0075301A">
              <w:rPr>
                <w:rFonts w:ascii="Arial" w:eastAsia="Arial" w:hAnsi="Arial" w:cs="Arial"/>
                <w:bCs/>
              </w:rPr>
              <w:t>This is a new course, and will be confined to Type B inter-club events.</w:t>
            </w:r>
            <w:r w:rsidRPr="0075301A">
              <w:rPr>
                <w:rFonts w:ascii="Arial" w:eastAsia="Arial" w:hAnsi="Arial" w:cs="Arial"/>
                <w:bCs/>
              </w:rPr>
              <w:t xml:space="preserve"> </w:t>
            </w:r>
          </w:p>
          <w:p w14:paraId="561BF1DB" w14:textId="77777777" w:rsidR="00125CF0" w:rsidRDefault="00125CF0">
            <w:pPr>
              <w:rPr>
                <w:rFonts w:ascii="Arial" w:eastAsia="Arial" w:hAnsi="Arial" w:cs="Arial"/>
                <w:b/>
                <w:color w:val="FF0000"/>
              </w:rPr>
            </w:pPr>
          </w:p>
          <w:p w14:paraId="091A539A" w14:textId="77777777" w:rsidR="00125CF0" w:rsidRDefault="00125CF0">
            <w:pPr>
              <w:rPr>
                <w:rFonts w:ascii="Arial" w:eastAsia="Arial" w:hAnsi="Arial" w:cs="Arial"/>
              </w:rPr>
            </w:pPr>
          </w:p>
        </w:tc>
      </w:tr>
    </w:tbl>
    <w:p w14:paraId="47004945" w14:textId="77777777" w:rsidR="00125CF0" w:rsidRDefault="00125CF0">
      <w:pPr>
        <w:rPr>
          <w:rFonts w:ascii="Arial" w:eastAsia="Arial" w:hAnsi="Arial" w:cs="Arial"/>
          <w:sz w:val="36"/>
          <w:szCs w:val="36"/>
        </w:rPr>
      </w:pPr>
    </w:p>
    <w:p w14:paraId="7107BF32" w14:textId="77777777" w:rsidR="00125CF0" w:rsidRDefault="00640448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Key Identified Risks</w:t>
      </w:r>
    </w:p>
    <w:p w14:paraId="513EC6EA" w14:textId="77777777" w:rsidR="00125CF0" w:rsidRDefault="00125CF0">
      <w:pPr>
        <w:rPr>
          <w:rFonts w:ascii="Arial" w:eastAsia="Arial" w:hAnsi="Arial" w:cs="Arial"/>
          <w:sz w:val="36"/>
          <w:szCs w:val="36"/>
        </w:rPr>
      </w:pPr>
    </w:p>
    <w:tbl>
      <w:tblPr>
        <w:tblStyle w:val="Table5"/>
        <w:tblW w:w="10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2410"/>
        <w:gridCol w:w="1701"/>
        <w:gridCol w:w="2799"/>
      </w:tblGrid>
      <w:tr w:rsidR="00125CF0" w14:paraId="7DF80402" w14:textId="77777777">
        <w:trPr>
          <w:trHeight w:val="600"/>
          <w:jc w:val="center"/>
        </w:trPr>
        <w:tc>
          <w:tcPr>
            <w:tcW w:w="1101" w:type="dxa"/>
          </w:tcPr>
          <w:p w14:paraId="7061F29F" w14:textId="77777777" w:rsidR="00125CF0" w:rsidRDefault="0064044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Distance</w:t>
            </w:r>
          </w:p>
        </w:tc>
        <w:tc>
          <w:tcPr>
            <w:tcW w:w="2409" w:type="dxa"/>
          </w:tcPr>
          <w:p w14:paraId="78A5A203" w14:textId="77777777" w:rsidR="00125CF0" w:rsidRDefault="00640448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14:paraId="05454ECB" w14:textId="77777777" w:rsidR="00125CF0" w:rsidRDefault="0064044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Identified </w:t>
            </w:r>
            <w:r>
              <w:rPr>
                <w:rFonts w:ascii="Arial" w:eastAsia="Arial" w:hAnsi="Arial" w:cs="Arial"/>
                <w:b/>
              </w:rPr>
              <w:t>Significant Risk/Hazards</w:t>
            </w:r>
          </w:p>
        </w:tc>
        <w:tc>
          <w:tcPr>
            <w:tcW w:w="1701" w:type="dxa"/>
          </w:tcPr>
          <w:p w14:paraId="4EEC8568" w14:textId="77777777" w:rsidR="00125CF0" w:rsidRDefault="0064044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Level of Risk</w:t>
            </w:r>
            <w:r>
              <w:rPr>
                <w:rFonts w:ascii="Arial" w:eastAsia="Arial" w:hAnsi="Arial" w:cs="Arial"/>
                <w:b/>
              </w:rPr>
              <w:br/>
              <w:t>Low/Med/High</w:t>
            </w:r>
          </w:p>
        </w:tc>
        <w:tc>
          <w:tcPr>
            <w:tcW w:w="2799" w:type="dxa"/>
          </w:tcPr>
          <w:p w14:paraId="62C6C171" w14:textId="77777777" w:rsidR="00125CF0" w:rsidRDefault="00640448">
            <w:pPr>
              <w:pStyle w:val="Heading4"/>
            </w:pPr>
            <w:r>
              <w:t>Measures to reduce Risk</w:t>
            </w:r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125CF0" w14:paraId="6DD8B821" w14:textId="77777777" w:rsidTr="00DA4080">
        <w:trPr>
          <w:trHeight w:val="1400"/>
          <w:jc w:val="center"/>
        </w:trPr>
        <w:tc>
          <w:tcPr>
            <w:tcW w:w="1101" w:type="dxa"/>
          </w:tcPr>
          <w:p w14:paraId="2EBEB983" w14:textId="77777777" w:rsidR="00125CF0" w:rsidRDefault="00125CF0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65DFA8EF" w14:textId="77777777" w:rsidR="00125CF0" w:rsidRDefault="0064044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 miles</w:t>
            </w:r>
          </w:p>
        </w:tc>
        <w:tc>
          <w:tcPr>
            <w:tcW w:w="2409" w:type="dxa"/>
          </w:tcPr>
          <w:p w14:paraId="5060CA91" w14:textId="77777777" w:rsidR="00125CF0" w:rsidRDefault="00125CF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C47EC2D" w14:textId="230C9A7F" w:rsidR="00125CF0" w:rsidRDefault="00640448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START: </w:t>
            </w: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Start </w:t>
            </w:r>
            <w:r w:rsidR="003073BF">
              <w:rPr>
                <w:rFonts w:ascii="Arial" w:eastAsia="Arial" w:hAnsi="Arial" w:cs="Arial"/>
                <w:sz w:val="16"/>
                <w:szCs w:val="16"/>
              </w:rPr>
              <w:t xml:space="preserve">in </w:t>
            </w:r>
            <w:r w:rsidR="0075301A">
              <w:rPr>
                <w:rFonts w:ascii="Arial" w:eastAsia="Arial" w:hAnsi="Arial" w:cs="Arial"/>
                <w:sz w:val="16"/>
                <w:szCs w:val="16"/>
              </w:rPr>
              <w:t>Norseman Village</w:t>
            </w:r>
          </w:p>
        </w:tc>
        <w:tc>
          <w:tcPr>
            <w:tcW w:w="2410" w:type="dxa"/>
          </w:tcPr>
          <w:p w14:paraId="5E3C4978" w14:textId="77777777" w:rsidR="00125CF0" w:rsidRDefault="00125CF0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49DB799A" w14:textId="77777777" w:rsidR="00125CF0" w:rsidRDefault="0064044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Riders waiting to start in start area</w:t>
            </w:r>
          </w:p>
        </w:tc>
        <w:tc>
          <w:tcPr>
            <w:tcW w:w="1701" w:type="dxa"/>
          </w:tcPr>
          <w:p w14:paraId="03D4F033" w14:textId="77777777" w:rsidR="00125CF0" w:rsidRDefault="00125CF0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1B0F938B" w14:textId="77777777" w:rsidR="00125CF0" w:rsidRDefault="00640448" w:rsidP="0066648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Med.</w:t>
            </w:r>
          </w:p>
          <w:p w14:paraId="2A5FFFBE" w14:textId="77777777" w:rsidR="00666483" w:rsidRDefault="00666483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3F9C0C1F" w14:textId="143A71C5" w:rsidR="00125CF0" w:rsidRDefault="0064044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Drivers have good visibility of start area</w:t>
            </w:r>
            <w:r w:rsidR="00666483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6089C5D2" w14:textId="77777777" w:rsidR="00125CF0" w:rsidRDefault="00125CF0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2076EAD9" w14:textId="77777777" w:rsidR="00125CF0" w:rsidRDefault="00125CF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99" w:type="dxa"/>
          </w:tcPr>
          <w:p w14:paraId="0D1C4D58" w14:textId="77777777" w:rsidR="00125CF0" w:rsidRDefault="00125CF0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14F13CBF" w14:textId="77777777" w:rsidR="00666483" w:rsidRDefault="00640448">
            <w:pPr>
              <w:rPr>
                <w:rFonts w:ascii="Arial" w:eastAsia="Arial" w:hAnsi="Arial" w:cs="Arial"/>
                <w:sz w:val="16"/>
                <w:szCs w:val="16"/>
              </w:rPr>
            </w:pPr>
            <w:bookmarkStart w:id="0" w:name="_gjdgxs"/>
            <w:bookmarkEnd w:id="0"/>
            <w:r>
              <w:rPr>
                <w:rFonts w:ascii="Arial" w:eastAsia="Arial" w:hAnsi="Arial" w:cs="Arial"/>
                <w:sz w:val="16"/>
                <w:szCs w:val="16"/>
              </w:rPr>
              <w:t xml:space="preserve">‘Caution Cycle event’ Warning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sign 150m before Start and all officials to wear High Viz jackets. </w:t>
            </w:r>
          </w:p>
          <w:p w14:paraId="6D60CFCE" w14:textId="77777777" w:rsidR="00666483" w:rsidRDefault="00666483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11CFD987" w14:textId="05B434F8" w:rsidR="00125CF0" w:rsidRDefault="0064044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One Marshal.</w:t>
            </w:r>
          </w:p>
        </w:tc>
      </w:tr>
      <w:tr w:rsidR="00125CF0" w14:paraId="500C1BE4" w14:textId="77777777" w:rsidTr="00DA4080">
        <w:trPr>
          <w:trHeight w:val="699"/>
          <w:jc w:val="center"/>
        </w:trPr>
        <w:tc>
          <w:tcPr>
            <w:tcW w:w="1101" w:type="dxa"/>
          </w:tcPr>
          <w:p w14:paraId="1CCB6212" w14:textId="3B7913BF" w:rsidR="00125CF0" w:rsidRDefault="0075301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0.1 miles</w:t>
            </w:r>
          </w:p>
        </w:tc>
        <w:tc>
          <w:tcPr>
            <w:tcW w:w="2409" w:type="dxa"/>
          </w:tcPr>
          <w:p w14:paraId="417E161E" w14:textId="71995226" w:rsidR="00125CF0" w:rsidRPr="003073BF" w:rsidRDefault="003073BF">
            <w:pPr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Junction with Lyde Rd</w:t>
            </w:r>
          </w:p>
        </w:tc>
        <w:tc>
          <w:tcPr>
            <w:tcW w:w="2410" w:type="dxa"/>
          </w:tcPr>
          <w:p w14:paraId="1D2364FA" w14:textId="3460319B" w:rsidR="00125CF0" w:rsidRDefault="003073B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3073BF">
              <w:rPr>
                <w:rFonts w:ascii="Arial" w:eastAsia="Arial" w:hAnsi="Arial" w:cs="Arial"/>
                <w:sz w:val="16"/>
                <w:szCs w:val="16"/>
              </w:rPr>
              <w:t xml:space="preserve">Cars entering and exiting junction. 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3073BF">
              <w:rPr>
                <w:rFonts w:ascii="Arial" w:eastAsia="Arial" w:hAnsi="Arial" w:cs="Arial"/>
                <w:sz w:val="16"/>
                <w:szCs w:val="16"/>
              </w:rPr>
              <w:t>ow traffic volume.</w:t>
            </w:r>
          </w:p>
        </w:tc>
        <w:tc>
          <w:tcPr>
            <w:tcW w:w="1701" w:type="dxa"/>
          </w:tcPr>
          <w:p w14:paraId="71E589C2" w14:textId="77777777" w:rsidR="00125CF0" w:rsidRDefault="0064044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Med</w:t>
            </w:r>
          </w:p>
        </w:tc>
        <w:tc>
          <w:tcPr>
            <w:tcW w:w="2799" w:type="dxa"/>
          </w:tcPr>
          <w:p w14:paraId="0DE2C77F" w14:textId="77777777" w:rsidR="00125CF0" w:rsidRDefault="0064044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‘Caution Cycle event’ </w:t>
            </w:r>
            <w:r>
              <w:rPr>
                <w:rFonts w:ascii="Arial" w:eastAsia="Arial" w:hAnsi="Arial" w:cs="Arial"/>
                <w:sz w:val="16"/>
                <w:szCs w:val="16"/>
              </w:rPr>
              <w:t>warning signs opposite junction</w:t>
            </w:r>
          </w:p>
        </w:tc>
      </w:tr>
      <w:tr w:rsidR="00125CF0" w14:paraId="607BD8D0" w14:textId="77777777" w:rsidTr="001862B7">
        <w:trPr>
          <w:trHeight w:val="907"/>
          <w:jc w:val="center"/>
        </w:trPr>
        <w:tc>
          <w:tcPr>
            <w:tcW w:w="1101" w:type="dxa"/>
          </w:tcPr>
          <w:p w14:paraId="66682017" w14:textId="6DDEB023" w:rsidR="00125CF0" w:rsidRDefault="0075301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0.2 miles</w:t>
            </w:r>
          </w:p>
        </w:tc>
        <w:tc>
          <w:tcPr>
            <w:tcW w:w="2409" w:type="dxa"/>
          </w:tcPr>
          <w:p w14:paraId="43A3FE54" w14:textId="60810695" w:rsidR="00125CF0" w:rsidRDefault="0075301A">
            <w:pPr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Junction with Gorseness Rd</w:t>
            </w:r>
          </w:p>
        </w:tc>
        <w:tc>
          <w:tcPr>
            <w:tcW w:w="2410" w:type="dxa"/>
          </w:tcPr>
          <w:p w14:paraId="0560AC8B" w14:textId="3E0556C6" w:rsidR="00125CF0" w:rsidRDefault="0064044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Cars entering and exiting junction. </w:t>
            </w:r>
            <w:r w:rsidR="0075301A"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ow traffic volume.</w:t>
            </w:r>
          </w:p>
        </w:tc>
        <w:tc>
          <w:tcPr>
            <w:tcW w:w="1701" w:type="dxa"/>
          </w:tcPr>
          <w:p w14:paraId="68C803AC" w14:textId="77777777" w:rsidR="00125CF0" w:rsidRDefault="0064044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Med</w:t>
            </w:r>
          </w:p>
        </w:tc>
        <w:tc>
          <w:tcPr>
            <w:tcW w:w="2799" w:type="dxa"/>
          </w:tcPr>
          <w:p w14:paraId="5C41B9A5" w14:textId="77777777" w:rsidR="00125CF0" w:rsidRDefault="0064044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‘Caution Cycle event’ warning sign opposite junction.</w:t>
            </w:r>
          </w:p>
        </w:tc>
      </w:tr>
      <w:tr w:rsidR="00125CF0" w14:paraId="3E4CC4D5" w14:textId="77777777" w:rsidTr="00DA4080">
        <w:trPr>
          <w:trHeight w:val="1122"/>
          <w:jc w:val="center"/>
        </w:trPr>
        <w:tc>
          <w:tcPr>
            <w:tcW w:w="1101" w:type="dxa"/>
          </w:tcPr>
          <w:p w14:paraId="0A3996A8" w14:textId="483740B7" w:rsidR="00125CF0" w:rsidRDefault="00F00839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2.7 miles</w:t>
            </w:r>
          </w:p>
        </w:tc>
        <w:tc>
          <w:tcPr>
            <w:tcW w:w="2409" w:type="dxa"/>
          </w:tcPr>
          <w:p w14:paraId="5E555E81" w14:textId="3230B429" w:rsidR="00125CF0" w:rsidRDefault="00F00839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Junction with Gorseness Rd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leading to Tingwall ferry.</w:t>
            </w:r>
          </w:p>
        </w:tc>
        <w:tc>
          <w:tcPr>
            <w:tcW w:w="2410" w:type="dxa"/>
          </w:tcPr>
          <w:p w14:paraId="0C1772E7" w14:textId="6307B040" w:rsidR="00125CF0" w:rsidRDefault="00F00839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Cars entering and exiting junction. Low traffic volume.</w:t>
            </w:r>
          </w:p>
        </w:tc>
        <w:tc>
          <w:tcPr>
            <w:tcW w:w="1701" w:type="dxa"/>
          </w:tcPr>
          <w:p w14:paraId="7A9FBAF1" w14:textId="6E7B933B" w:rsidR="00125CF0" w:rsidRDefault="00F0083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Med</w:t>
            </w:r>
          </w:p>
        </w:tc>
        <w:tc>
          <w:tcPr>
            <w:tcW w:w="2799" w:type="dxa"/>
          </w:tcPr>
          <w:p w14:paraId="67C2C78F" w14:textId="77777777" w:rsidR="00125CF0" w:rsidRDefault="00F00839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‘Caution Cycle event’ warning sign opposite junction.</w:t>
            </w:r>
          </w:p>
          <w:p w14:paraId="4DFEBEA7" w14:textId="77777777" w:rsidR="00F00839" w:rsidRDefault="00F00839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5CD3A423" w14:textId="6BE60935" w:rsidR="00F00839" w:rsidRDefault="00F00839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Event scheduled to avoid ferry arrival/departures.</w:t>
            </w:r>
          </w:p>
        </w:tc>
      </w:tr>
      <w:tr w:rsidR="003073BF" w14:paraId="71D9F3A1" w14:textId="77777777" w:rsidTr="001862B7">
        <w:trPr>
          <w:trHeight w:val="1121"/>
          <w:jc w:val="center"/>
        </w:trPr>
        <w:tc>
          <w:tcPr>
            <w:tcW w:w="1101" w:type="dxa"/>
          </w:tcPr>
          <w:p w14:paraId="7BB46C29" w14:textId="6DCE2839" w:rsidR="003073BF" w:rsidRDefault="003073BF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5.5 miles</w:t>
            </w:r>
          </w:p>
        </w:tc>
        <w:tc>
          <w:tcPr>
            <w:tcW w:w="2409" w:type="dxa"/>
          </w:tcPr>
          <w:p w14:paraId="53A652C9" w14:textId="7672AD24" w:rsidR="003073BF" w:rsidRDefault="003073BF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Junction with Aikerness Rd</w:t>
            </w:r>
          </w:p>
        </w:tc>
        <w:tc>
          <w:tcPr>
            <w:tcW w:w="2410" w:type="dxa"/>
          </w:tcPr>
          <w:p w14:paraId="7FC94489" w14:textId="77777777" w:rsidR="001862B7" w:rsidRDefault="003073BF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Cars entering and exiting junction. Low traffic volume.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17E130EE" w14:textId="77777777" w:rsidR="001862B7" w:rsidRDefault="001862B7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2EC2C675" w14:textId="675736E1" w:rsidR="003073BF" w:rsidRDefault="003073BF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However, </w:t>
            </w:r>
            <w:r w:rsidR="001862B7">
              <w:rPr>
                <w:rFonts w:ascii="Arial" w:eastAsia="Arial" w:hAnsi="Arial" w:cs="Arial"/>
                <w:sz w:val="16"/>
                <w:szCs w:val="16"/>
              </w:rPr>
              <w:t xml:space="preserve">road </w:t>
            </w:r>
            <w:r>
              <w:rPr>
                <w:rFonts w:ascii="Arial" w:eastAsia="Arial" w:hAnsi="Arial" w:cs="Arial"/>
                <w:sz w:val="16"/>
                <w:szCs w:val="16"/>
              </w:rPr>
              <w:t>visibility is</w:t>
            </w:r>
            <w:r w:rsidR="00DA4080">
              <w:rPr>
                <w:rFonts w:ascii="Arial" w:eastAsia="Arial" w:hAnsi="Arial" w:cs="Arial"/>
                <w:sz w:val="16"/>
                <w:szCs w:val="16"/>
              </w:rPr>
              <w:t xml:space="preserve"> quite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DA4080">
              <w:rPr>
                <w:rFonts w:ascii="Arial" w:eastAsia="Arial" w:hAnsi="Arial" w:cs="Arial"/>
                <w:sz w:val="16"/>
                <w:szCs w:val="16"/>
              </w:rPr>
              <w:t>poor.</w:t>
            </w:r>
          </w:p>
        </w:tc>
        <w:tc>
          <w:tcPr>
            <w:tcW w:w="1701" w:type="dxa"/>
          </w:tcPr>
          <w:p w14:paraId="01443D64" w14:textId="08CF2EF3" w:rsidR="003073BF" w:rsidRDefault="00DA408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Med</w:t>
            </w:r>
          </w:p>
        </w:tc>
        <w:tc>
          <w:tcPr>
            <w:tcW w:w="2799" w:type="dxa"/>
          </w:tcPr>
          <w:p w14:paraId="31F3D25C" w14:textId="6DBED326" w:rsidR="003073BF" w:rsidRDefault="00DA408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‘</w:t>
            </w:r>
            <w:r>
              <w:rPr>
                <w:rFonts w:ascii="Arial" w:eastAsia="Arial" w:hAnsi="Arial" w:cs="Arial"/>
                <w:sz w:val="16"/>
                <w:szCs w:val="16"/>
              </w:rPr>
              <w:t>Caution Cycle event’ warning sign opposite junction.</w:t>
            </w:r>
          </w:p>
        </w:tc>
      </w:tr>
      <w:tr w:rsidR="00125CF0" w14:paraId="218C8B29" w14:textId="77777777" w:rsidTr="00DA4080">
        <w:trPr>
          <w:trHeight w:val="689"/>
          <w:jc w:val="center"/>
        </w:trPr>
        <w:tc>
          <w:tcPr>
            <w:tcW w:w="1101" w:type="dxa"/>
          </w:tcPr>
          <w:p w14:paraId="2227EB5C" w14:textId="11CBBC80" w:rsidR="00125CF0" w:rsidRDefault="00F00839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 w:rsidR="00640448"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  <w:r w:rsidR="00640448">
              <w:rPr>
                <w:rFonts w:ascii="Arial" w:eastAsia="Arial" w:hAnsi="Arial" w:cs="Arial"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14:paraId="707CE2F0" w14:textId="189A78F7" w:rsidR="00125CF0" w:rsidRDefault="0064044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Junction with</w:t>
            </w:r>
            <w:r w:rsidR="00F00839">
              <w:rPr>
                <w:rFonts w:ascii="Arial" w:eastAsia="Arial" w:hAnsi="Arial" w:cs="Arial"/>
                <w:sz w:val="16"/>
                <w:szCs w:val="16"/>
              </w:rPr>
              <w:t xml:space="preserve"> Hillside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Rd</w:t>
            </w:r>
          </w:p>
        </w:tc>
        <w:tc>
          <w:tcPr>
            <w:tcW w:w="2410" w:type="dxa"/>
          </w:tcPr>
          <w:p w14:paraId="021B0C13" w14:textId="77777777" w:rsidR="00125CF0" w:rsidRDefault="0064044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Cars entering and exiting junction. Low traffic </w:t>
            </w:r>
            <w:r>
              <w:rPr>
                <w:rFonts w:ascii="Arial" w:eastAsia="Arial" w:hAnsi="Arial" w:cs="Arial"/>
                <w:sz w:val="16"/>
                <w:szCs w:val="16"/>
              </w:rPr>
              <w:t>volume.</w:t>
            </w:r>
          </w:p>
        </w:tc>
        <w:tc>
          <w:tcPr>
            <w:tcW w:w="1701" w:type="dxa"/>
          </w:tcPr>
          <w:p w14:paraId="62AAE42E" w14:textId="77777777" w:rsidR="00125CF0" w:rsidRDefault="0064044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Med</w:t>
            </w:r>
          </w:p>
        </w:tc>
        <w:tc>
          <w:tcPr>
            <w:tcW w:w="2799" w:type="dxa"/>
          </w:tcPr>
          <w:p w14:paraId="5100AA27" w14:textId="20A608F3" w:rsidR="00125CF0" w:rsidRDefault="00DA408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‘</w:t>
            </w:r>
            <w:r w:rsidR="00640448">
              <w:rPr>
                <w:rFonts w:ascii="Arial" w:eastAsia="Arial" w:hAnsi="Arial" w:cs="Arial"/>
                <w:sz w:val="16"/>
                <w:szCs w:val="16"/>
              </w:rPr>
              <w:t>Caution Cycle event’ warning sign opposite junction.</w:t>
            </w:r>
          </w:p>
        </w:tc>
      </w:tr>
      <w:tr w:rsidR="00F00839" w14:paraId="2C997983" w14:textId="77777777" w:rsidTr="00DA4080">
        <w:trPr>
          <w:trHeight w:val="1422"/>
          <w:jc w:val="center"/>
        </w:trPr>
        <w:tc>
          <w:tcPr>
            <w:tcW w:w="1101" w:type="dxa"/>
          </w:tcPr>
          <w:p w14:paraId="1ED60CCA" w14:textId="0713067B" w:rsidR="00F00839" w:rsidRDefault="00F00839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11.1 miles</w:t>
            </w:r>
          </w:p>
        </w:tc>
        <w:tc>
          <w:tcPr>
            <w:tcW w:w="2409" w:type="dxa"/>
          </w:tcPr>
          <w:p w14:paraId="25FC8F91" w14:textId="77777777" w:rsidR="00F00839" w:rsidRDefault="00F00839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862B7">
              <w:rPr>
                <w:rFonts w:ascii="Arial" w:eastAsia="Arial" w:hAnsi="Arial" w:cs="Arial"/>
                <w:b/>
                <w:sz w:val="16"/>
                <w:szCs w:val="16"/>
              </w:rPr>
              <w:t>U turn</w:t>
            </w:r>
          </w:p>
          <w:p w14:paraId="12036A94" w14:textId="77777777" w:rsidR="001C04C1" w:rsidRDefault="001C04C1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4B57634" w14:textId="1A2D980B" w:rsidR="001C04C1" w:rsidRPr="001C04C1" w:rsidRDefault="001C04C1">
            <w:pPr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1C04C1">
              <w:rPr>
                <w:rFonts w:ascii="Arial" w:eastAsia="Arial" w:hAnsi="Arial" w:cs="Arial"/>
                <w:bCs/>
                <w:sz w:val="16"/>
                <w:szCs w:val="16"/>
              </w:rPr>
              <w:t xml:space="preserve">Turn 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at the white pillar at the Southern end of Swannay Brewery parking.</w:t>
            </w:r>
          </w:p>
        </w:tc>
        <w:tc>
          <w:tcPr>
            <w:tcW w:w="2410" w:type="dxa"/>
          </w:tcPr>
          <w:p w14:paraId="1084740C" w14:textId="286C72AD" w:rsidR="00F00839" w:rsidRDefault="00F00839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00839">
              <w:rPr>
                <w:rFonts w:ascii="Arial" w:eastAsia="Arial" w:hAnsi="Arial" w:cs="Arial"/>
                <w:sz w:val="16"/>
                <w:szCs w:val="16"/>
              </w:rPr>
              <w:t>Riders to complete a U turn in the middle of the road</w:t>
            </w:r>
          </w:p>
        </w:tc>
        <w:tc>
          <w:tcPr>
            <w:tcW w:w="1701" w:type="dxa"/>
          </w:tcPr>
          <w:p w14:paraId="4464AAF4" w14:textId="522892F4" w:rsidR="00F00839" w:rsidRDefault="00F00839" w:rsidP="00F0083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00839">
              <w:rPr>
                <w:rFonts w:ascii="Arial" w:eastAsia="Arial" w:hAnsi="Arial" w:cs="Arial"/>
                <w:sz w:val="16"/>
                <w:szCs w:val="16"/>
              </w:rPr>
              <w:t>High</w:t>
            </w:r>
          </w:p>
        </w:tc>
        <w:tc>
          <w:tcPr>
            <w:tcW w:w="2799" w:type="dxa"/>
          </w:tcPr>
          <w:p w14:paraId="64FF2E20" w14:textId="2E7169F7" w:rsidR="00F00839" w:rsidRDefault="00F00839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00839">
              <w:rPr>
                <w:rFonts w:ascii="Arial" w:eastAsia="Arial" w:hAnsi="Arial" w:cs="Arial"/>
                <w:sz w:val="16"/>
                <w:szCs w:val="16"/>
              </w:rPr>
              <w:t>‘Caution Cycle Event’ warning sign 200m before and past the turn and all marshals to wear Hi Vis jackets/waistcoats. One marshal to have a Red Flag.</w:t>
            </w:r>
          </w:p>
        </w:tc>
      </w:tr>
      <w:tr w:rsidR="003073BF" w14:paraId="17A76CD9" w14:textId="77777777" w:rsidTr="00DA4080">
        <w:trPr>
          <w:trHeight w:val="974"/>
          <w:jc w:val="center"/>
        </w:trPr>
        <w:tc>
          <w:tcPr>
            <w:tcW w:w="1101" w:type="dxa"/>
          </w:tcPr>
          <w:p w14:paraId="0C04A111" w14:textId="3779F5F0" w:rsidR="003073BF" w:rsidRDefault="003073BF" w:rsidP="003073BF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16.4 miles</w:t>
            </w:r>
          </w:p>
        </w:tc>
        <w:tc>
          <w:tcPr>
            <w:tcW w:w="2409" w:type="dxa"/>
          </w:tcPr>
          <w:p w14:paraId="2669903F" w14:textId="77777777" w:rsidR="003073BF" w:rsidRDefault="003073BF" w:rsidP="003073BF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Junction with Hillside Rd</w:t>
            </w:r>
          </w:p>
          <w:p w14:paraId="48FCA86A" w14:textId="77777777" w:rsidR="003073BF" w:rsidRDefault="003073BF" w:rsidP="003073BF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28A3D35B" w14:textId="196C639E" w:rsidR="003073BF" w:rsidRDefault="003073BF" w:rsidP="003073BF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 at 5.7 miles.</w:t>
            </w:r>
          </w:p>
        </w:tc>
        <w:tc>
          <w:tcPr>
            <w:tcW w:w="2410" w:type="dxa"/>
          </w:tcPr>
          <w:p w14:paraId="2FF01D28" w14:textId="333FA2EC" w:rsidR="003073BF" w:rsidRDefault="003073BF" w:rsidP="003073BF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Cars entering and exiting junction. Low traffic volume.</w:t>
            </w:r>
          </w:p>
        </w:tc>
        <w:tc>
          <w:tcPr>
            <w:tcW w:w="1701" w:type="dxa"/>
          </w:tcPr>
          <w:p w14:paraId="299B4BDE" w14:textId="2B5A1180" w:rsidR="003073BF" w:rsidRDefault="003073BF" w:rsidP="00DA408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Med</w:t>
            </w:r>
          </w:p>
        </w:tc>
        <w:tc>
          <w:tcPr>
            <w:tcW w:w="2799" w:type="dxa"/>
          </w:tcPr>
          <w:p w14:paraId="45BA504D" w14:textId="395E2634" w:rsidR="003073BF" w:rsidRDefault="003073BF" w:rsidP="003073BF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Caution Cycle event’ warning sign opposite junction.</w:t>
            </w:r>
          </w:p>
        </w:tc>
      </w:tr>
      <w:tr w:rsidR="00DA4080" w14:paraId="0C17E64D" w14:textId="77777777" w:rsidTr="00DA4080">
        <w:trPr>
          <w:trHeight w:val="988"/>
          <w:jc w:val="center"/>
        </w:trPr>
        <w:tc>
          <w:tcPr>
            <w:tcW w:w="1101" w:type="dxa"/>
          </w:tcPr>
          <w:p w14:paraId="3538AF9D" w14:textId="6D33A5E8" w:rsidR="00DA4080" w:rsidRDefault="00DA4080" w:rsidP="00DA408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17.8 miles</w:t>
            </w:r>
          </w:p>
        </w:tc>
        <w:tc>
          <w:tcPr>
            <w:tcW w:w="2409" w:type="dxa"/>
          </w:tcPr>
          <w:p w14:paraId="5AB5F8E5" w14:textId="7170B854" w:rsidR="00DA4080" w:rsidRDefault="00DA4080" w:rsidP="00DA408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Approaching junction to Jubidee</w:t>
            </w:r>
          </w:p>
        </w:tc>
        <w:tc>
          <w:tcPr>
            <w:tcW w:w="2410" w:type="dxa"/>
          </w:tcPr>
          <w:p w14:paraId="121A4163" w14:textId="0C5C7145" w:rsidR="00DA4080" w:rsidRDefault="00DA4080" w:rsidP="00DA408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Collapsed roadside verge</w:t>
            </w:r>
          </w:p>
        </w:tc>
        <w:tc>
          <w:tcPr>
            <w:tcW w:w="1701" w:type="dxa"/>
          </w:tcPr>
          <w:p w14:paraId="144B1E6D" w14:textId="51721631" w:rsidR="00DA4080" w:rsidRDefault="00DA4080" w:rsidP="00DA408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Med</w:t>
            </w:r>
          </w:p>
        </w:tc>
        <w:tc>
          <w:tcPr>
            <w:tcW w:w="2799" w:type="dxa"/>
          </w:tcPr>
          <w:p w14:paraId="20CA437F" w14:textId="77777777" w:rsidR="00DA4080" w:rsidRDefault="00DA4080" w:rsidP="00DA408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Verbal warning to riders at briefing.</w:t>
            </w:r>
          </w:p>
          <w:p w14:paraId="0A8C35FB" w14:textId="77777777" w:rsidR="00DA4080" w:rsidRDefault="00DA4080" w:rsidP="00DA4080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20DAFC90" w14:textId="3FFFA5AA" w:rsidR="00DA4080" w:rsidRDefault="00DA4080" w:rsidP="00DA408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Pink spray marking on road</w:t>
            </w:r>
          </w:p>
        </w:tc>
      </w:tr>
      <w:tr w:rsidR="00DA4080" w14:paraId="3A552943" w14:textId="77777777" w:rsidTr="00DA4080">
        <w:trPr>
          <w:trHeight w:val="1117"/>
          <w:jc w:val="center"/>
        </w:trPr>
        <w:tc>
          <w:tcPr>
            <w:tcW w:w="1101" w:type="dxa"/>
          </w:tcPr>
          <w:p w14:paraId="3DF10442" w14:textId="41070041" w:rsidR="00DA4080" w:rsidRDefault="00DA4080" w:rsidP="00DA408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14:paraId="623D2946" w14:textId="63617200" w:rsidR="00DA4080" w:rsidRDefault="00DA4080" w:rsidP="00DA408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Approaching junction to </w:t>
            </w:r>
            <w:r>
              <w:rPr>
                <w:rFonts w:ascii="Arial" w:eastAsia="Arial" w:hAnsi="Arial" w:cs="Arial"/>
                <w:sz w:val="16"/>
                <w:szCs w:val="16"/>
              </w:rPr>
              <w:t>Arwick</w:t>
            </w:r>
          </w:p>
        </w:tc>
        <w:tc>
          <w:tcPr>
            <w:tcW w:w="2410" w:type="dxa"/>
          </w:tcPr>
          <w:p w14:paraId="5F653F57" w14:textId="26B6819C" w:rsidR="00DA4080" w:rsidRDefault="00DA4080" w:rsidP="00DA408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Collapsed roadside verge</w:t>
            </w:r>
          </w:p>
        </w:tc>
        <w:tc>
          <w:tcPr>
            <w:tcW w:w="1701" w:type="dxa"/>
          </w:tcPr>
          <w:p w14:paraId="4A3BCF70" w14:textId="42970D9F" w:rsidR="00DA4080" w:rsidRDefault="00DA4080" w:rsidP="00DA408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Med</w:t>
            </w:r>
          </w:p>
        </w:tc>
        <w:tc>
          <w:tcPr>
            <w:tcW w:w="2799" w:type="dxa"/>
          </w:tcPr>
          <w:p w14:paraId="37F25F55" w14:textId="77777777" w:rsidR="00DA4080" w:rsidRDefault="00DA4080" w:rsidP="00DA408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Verbal warning to riders at briefing.</w:t>
            </w:r>
          </w:p>
          <w:p w14:paraId="68402029" w14:textId="77777777" w:rsidR="00DA4080" w:rsidRDefault="00DA4080" w:rsidP="00DA4080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391C590" w14:textId="7F1EAE64" w:rsidR="00DA4080" w:rsidRDefault="00DA4080" w:rsidP="00DA408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Pink spray marking on road</w:t>
            </w:r>
          </w:p>
        </w:tc>
      </w:tr>
      <w:tr w:rsidR="00DA4080" w14:paraId="7C5637DA" w14:textId="77777777" w:rsidTr="00DA4080">
        <w:trPr>
          <w:trHeight w:val="1558"/>
          <w:jc w:val="center"/>
        </w:trPr>
        <w:tc>
          <w:tcPr>
            <w:tcW w:w="1101" w:type="dxa"/>
          </w:tcPr>
          <w:p w14:paraId="7E924DFA" w14:textId="17FE730F" w:rsidR="00DA4080" w:rsidRDefault="00DA4080" w:rsidP="00DA408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19.3 miles</w:t>
            </w:r>
          </w:p>
        </w:tc>
        <w:tc>
          <w:tcPr>
            <w:tcW w:w="2409" w:type="dxa"/>
          </w:tcPr>
          <w:p w14:paraId="2D976406" w14:textId="77777777" w:rsidR="00DA4080" w:rsidRDefault="00DA4080" w:rsidP="00DA408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Junction with Gorseness Rd leading to Tingwall ferry.</w:t>
            </w:r>
          </w:p>
          <w:p w14:paraId="2449ABFE" w14:textId="77777777" w:rsidR="00DA4080" w:rsidRDefault="00DA4080" w:rsidP="00DA4080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4DC67AB3" w14:textId="1077FBC9" w:rsidR="00DA4080" w:rsidRDefault="00DA4080" w:rsidP="00DA408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 at 2.7 miles</w:t>
            </w:r>
          </w:p>
        </w:tc>
        <w:tc>
          <w:tcPr>
            <w:tcW w:w="2410" w:type="dxa"/>
          </w:tcPr>
          <w:p w14:paraId="525E0576" w14:textId="1610F985" w:rsidR="00DA4080" w:rsidRDefault="00DA4080" w:rsidP="00DA408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Cars entering and exiting junction. Low traffic volume.</w:t>
            </w:r>
          </w:p>
        </w:tc>
        <w:tc>
          <w:tcPr>
            <w:tcW w:w="1701" w:type="dxa"/>
          </w:tcPr>
          <w:p w14:paraId="7C0450F0" w14:textId="2441190B" w:rsidR="00DA4080" w:rsidRDefault="00DA4080" w:rsidP="00DA408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Med</w:t>
            </w:r>
          </w:p>
        </w:tc>
        <w:tc>
          <w:tcPr>
            <w:tcW w:w="2799" w:type="dxa"/>
          </w:tcPr>
          <w:p w14:paraId="706A7789" w14:textId="77777777" w:rsidR="00DA4080" w:rsidRDefault="00DA4080" w:rsidP="00DA408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‘Caution Cycle event’ warning sign opposite junction.</w:t>
            </w:r>
          </w:p>
          <w:p w14:paraId="3F78B9FB" w14:textId="77777777" w:rsidR="00DA4080" w:rsidRDefault="00DA4080" w:rsidP="00DA4080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4CA1F58E" w14:textId="1583ABBA" w:rsidR="00DA4080" w:rsidRDefault="00DA4080" w:rsidP="00DA408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Event scheduled to avoid ferry arrival/departures.</w:t>
            </w:r>
          </w:p>
        </w:tc>
      </w:tr>
      <w:tr w:rsidR="00DA4080" w14:paraId="6D38D299" w14:textId="77777777" w:rsidTr="00DA4080">
        <w:trPr>
          <w:trHeight w:val="985"/>
          <w:jc w:val="center"/>
        </w:trPr>
        <w:tc>
          <w:tcPr>
            <w:tcW w:w="1101" w:type="dxa"/>
          </w:tcPr>
          <w:p w14:paraId="78969BB7" w14:textId="2419C6CB" w:rsidR="00DA4080" w:rsidRDefault="00DA4080" w:rsidP="00DA408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21.8 miles</w:t>
            </w:r>
          </w:p>
        </w:tc>
        <w:tc>
          <w:tcPr>
            <w:tcW w:w="2409" w:type="dxa"/>
          </w:tcPr>
          <w:p w14:paraId="63FC0B88" w14:textId="77777777" w:rsidR="00DA4080" w:rsidRDefault="00DA4080" w:rsidP="00DA408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Junction with Gorseness Rd</w:t>
            </w:r>
          </w:p>
          <w:p w14:paraId="2F0B1344" w14:textId="77777777" w:rsidR="00DA4080" w:rsidRDefault="00DA4080" w:rsidP="00DA4080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44E0A5BB" w14:textId="541D9796" w:rsidR="00DA4080" w:rsidRDefault="00DA4080" w:rsidP="00DA408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 at 0.2 miles</w:t>
            </w:r>
          </w:p>
        </w:tc>
        <w:tc>
          <w:tcPr>
            <w:tcW w:w="2410" w:type="dxa"/>
          </w:tcPr>
          <w:p w14:paraId="7942C049" w14:textId="39A78B0A" w:rsidR="00DA4080" w:rsidRDefault="00DA4080" w:rsidP="00DA408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Cars entering and exiting junction. Low traffic volume.</w:t>
            </w:r>
          </w:p>
        </w:tc>
        <w:tc>
          <w:tcPr>
            <w:tcW w:w="1701" w:type="dxa"/>
          </w:tcPr>
          <w:p w14:paraId="10D7AA0E" w14:textId="6B8DC1D7" w:rsidR="00DA4080" w:rsidRDefault="00DA4080" w:rsidP="00DA408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Med</w:t>
            </w:r>
          </w:p>
        </w:tc>
        <w:tc>
          <w:tcPr>
            <w:tcW w:w="2799" w:type="dxa"/>
          </w:tcPr>
          <w:p w14:paraId="3CA3A68A" w14:textId="385252B0" w:rsidR="00DA4080" w:rsidRDefault="00DA4080" w:rsidP="00DA408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‘Caution Cycle event’ warning sign opposite junction.</w:t>
            </w:r>
          </w:p>
        </w:tc>
      </w:tr>
      <w:tr w:rsidR="00DA4080" w14:paraId="72F2EDE1" w14:textId="77777777" w:rsidTr="00DA4080">
        <w:trPr>
          <w:trHeight w:val="971"/>
          <w:jc w:val="center"/>
        </w:trPr>
        <w:tc>
          <w:tcPr>
            <w:tcW w:w="1101" w:type="dxa"/>
          </w:tcPr>
          <w:p w14:paraId="71A8B171" w14:textId="4EDC2A99" w:rsidR="00DA4080" w:rsidRDefault="00DA4080" w:rsidP="00DA408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22.0 miles</w:t>
            </w:r>
          </w:p>
        </w:tc>
        <w:tc>
          <w:tcPr>
            <w:tcW w:w="2409" w:type="dxa"/>
          </w:tcPr>
          <w:p w14:paraId="422EE0C6" w14:textId="77777777" w:rsidR="00DA4080" w:rsidRDefault="00DA4080" w:rsidP="00DA4080">
            <w:pPr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Junction with Lyde Rd</w:t>
            </w:r>
          </w:p>
          <w:p w14:paraId="7D827179" w14:textId="77777777" w:rsidR="00DA4080" w:rsidRDefault="00DA4080" w:rsidP="00DA4080">
            <w:pPr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14:paraId="6FAC39C7" w14:textId="38412905" w:rsidR="00DA4080" w:rsidRDefault="00DA4080" w:rsidP="00DA408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As at 0.1 miles</w:t>
            </w:r>
          </w:p>
        </w:tc>
        <w:tc>
          <w:tcPr>
            <w:tcW w:w="2410" w:type="dxa"/>
          </w:tcPr>
          <w:p w14:paraId="3D317FB4" w14:textId="1ED8BFBB" w:rsidR="00DA4080" w:rsidRDefault="00DA4080" w:rsidP="00DA408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3073BF">
              <w:rPr>
                <w:rFonts w:ascii="Arial" w:eastAsia="Arial" w:hAnsi="Arial" w:cs="Arial"/>
                <w:sz w:val="16"/>
                <w:szCs w:val="16"/>
              </w:rPr>
              <w:t xml:space="preserve">Cars entering and exiting junction. 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3073BF">
              <w:rPr>
                <w:rFonts w:ascii="Arial" w:eastAsia="Arial" w:hAnsi="Arial" w:cs="Arial"/>
                <w:sz w:val="16"/>
                <w:szCs w:val="16"/>
              </w:rPr>
              <w:t>ow traffic volume.</w:t>
            </w:r>
          </w:p>
        </w:tc>
        <w:tc>
          <w:tcPr>
            <w:tcW w:w="1701" w:type="dxa"/>
          </w:tcPr>
          <w:p w14:paraId="2EFCF256" w14:textId="7C4037C1" w:rsidR="00DA4080" w:rsidRDefault="00DA4080" w:rsidP="00DA408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Med</w:t>
            </w:r>
          </w:p>
        </w:tc>
        <w:tc>
          <w:tcPr>
            <w:tcW w:w="2799" w:type="dxa"/>
          </w:tcPr>
          <w:p w14:paraId="38E98DD5" w14:textId="46A7EA9D" w:rsidR="00DA4080" w:rsidRDefault="00DA4080" w:rsidP="00DA408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‘Caution Cycle event’ warning signs opposite junction</w:t>
            </w:r>
          </w:p>
        </w:tc>
      </w:tr>
      <w:tr w:rsidR="00DA4080" w14:paraId="015DA937" w14:textId="77777777" w:rsidTr="00DA4080">
        <w:trPr>
          <w:trHeight w:val="843"/>
          <w:jc w:val="center"/>
        </w:trPr>
        <w:tc>
          <w:tcPr>
            <w:tcW w:w="1101" w:type="dxa"/>
          </w:tcPr>
          <w:p w14:paraId="2A41DE74" w14:textId="05581374" w:rsidR="00DA4080" w:rsidRDefault="00DA4080" w:rsidP="00DA408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23.8 miles</w:t>
            </w:r>
          </w:p>
        </w:tc>
        <w:tc>
          <w:tcPr>
            <w:tcW w:w="2409" w:type="dxa"/>
          </w:tcPr>
          <w:p w14:paraId="3BFFE3EE" w14:textId="33398216" w:rsidR="00DA4080" w:rsidRPr="003073BF" w:rsidRDefault="00DA4080" w:rsidP="00DA4080">
            <w:pPr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3073BF">
              <w:rPr>
                <w:rFonts w:ascii="Arial" w:eastAsia="Arial" w:hAnsi="Arial" w:cs="Arial"/>
                <w:bCs/>
                <w:sz w:val="16"/>
                <w:szCs w:val="16"/>
              </w:rPr>
              <w:t>Holland Road junction</w:t>
            </w:r>
            <w:r w:rsidRPr="003073BF">
              <w:rPr>
                <w:rFonts w:ascii="Arial" w:eastAsia="Arial" w:hAnsi="Arial" w:cs="Arial"/>
                <w:bCs/>
                <w:sz w:val="16"/>
                <w:szCs w:val="16"/>
              </w:rPr>
              <w:tab/>
            </w:r>
            <w:r w:rsidRPr="003073BF">
              <w:rPr>
                <w:rFonts w:ascii="Arial" w:eastAsia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2410" w:type="dxa"/>
          </w:tcPr>
          <w:p w14:paraId="62D7E87E" w14:textId="78B98E7F" w:rsidR="00DA4080" w:rsidRDefault="00DA4080" w:rsidP="00DA408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3073BF">
              <w:rPr>
                <w:rFonts w:ascii="Arial" w:eastAsia="Arial" w:hAnsi="Arial" w:cs="Arial"/>
                <w:bCs/>
                <w:sz w:val="16"/>
                <w:szCs w:val="16"/>
              </w:rPr>
              <w:t>Very low volume of traffic as a farm road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14:paraId="0FFF0B1C" w14:textId="3555ABC3" w:rsidR="00DA4080" w:rsidRDefault="00DA4080" w:rsidP="00DA408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Med</w:t>
            </w:r>
          </w:p>
        </w:tc>
        <w:tc>
          <w:tcPr>
            <w:tcW w:w="2799" w:type="dxa"/>
          </w:tcPr>
          <w:p w14:paraId="4659E2C6" w14:textId="404045C2" w:rsidR="00DA4080" w:rsidRDefault="00DA4080" w:rsidP="00DA408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3073BF">
              <w:rPr>
                <w:rFonts w:ascii="Arial" w:eastAsia="Arial" w:hAnsi="Arial" w:cs="Arial"/>
                <w:bCs/>
                <w:sz w:val="16"/>
                <w:szCs w:val="16"/>
              </w:rPr>
              <w:t>‘Caution Cycle event’ warning signs opposite junction</w:t>
            </w:r>
          </w:p>
        </w:tc>
      </w:tr>
      <w:tr w:rsidR="00DA4080" w14:paraId="1CBFF0CA" w14:textId="77777777" w:rsidTr="00AF3305">
        <w:trPr>
          <w:trHeight w:val="1699"/>
          <w:jc w:val="center"/>
        </w:trPr>
        <w:tc>
          <w:tcPr>
            <w:tcW w:w="1101" w:type="dxa"/>
          </w:tcPr>
          <w:p w14:paraId="27C37A70" w14:textId="77777777" w:rsidR="00DA4080" w:rsidRDefault="00DA4080" w:rsidP="00DA4080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113CECAA" w14:textId="42CC5C6D" w:rsidR="00DA4080" w:rsidRDefault="00DA4080" w:rsidP="00DA408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24.8 miles</w:t>
            </w:r>
          </w:p>
        </w:tc>
        <w:tc>
          <w:tcPr>
            <w:tcW w:w="2409" w:type="dxa"/>
          </w:tcPr>
          <w:p w14:paraId="694FDE4B" w14:textId="77777777" w:rsidR="00DA4080" w:rsidRDefault="00DA4080" w:rsidP="00DA408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80FC75A" w14:textId="77777777" w:rsidR="00DA4080" w:rsidRDefault="00DA4080" w:rsidP="00DA408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</w:rPr>
              <w:t>FINISH: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Firth Primary School road end</w:t>
            </w:r>
          </w:p>
        </w:tc>
        <w:tc>
          <w:tcPr>
            <w:tcW w:w="2410" w:type="dxa"/>
          </w:tcPr>
          <w:p w14:paraId="505F94F2" w14:textId="77777777" w:rsidR="00DA4080" w:rsidRDefault="00DA4080" w:rsidP="00DA4080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DE1EC2A" w14:textId="3502875B" w:rsidR="00DA4080" w:rsidRDefault="00DA4080" w:rsidP="00DA408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Cars coming behind the riders who will be slowing down and stopping</w:t>
            </w:r>
          </w:p>
          <w:p w14:paraId="5F2E08CF" w14:textId="77777777" w:rsidR="00DA4080" w:rsidRDefault="00DA4080" w:rsidP="00DA408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0414C94A" w14:textId="77777777" w:rsidR="00DA4080" w:rsidRDefault="00DA4080" w:rsidP="00DA4080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2C7AD86D" w14:textId="77777777" w:rsidR="00DA4080" w:rsidRDefault="00DA4080" w:rsidP="00DA408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High</w:t>
            </w:r>
          </w:p>
          <w:p w14:paraId="7FCD9E71" w14:textId="77777777" w:rsidR="00DA4080" w:rsidRDefault="00DA4080" w:rsidP="00DA408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99" w:type="dxa"/>
          </w:tcPr>
          <w:p w14:paraId="0E4454E2" w14:textId="77777777" w:rsidR="00DA4080" w:rsidRDefault="00DA4080" w:rsidP="00DA4080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6E791114" w14:textId="77777777" w:rsidR="00DA4080" w:rsidRDefault="00DA4080" w:rsidP="00DA408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Warning signs 200m before the start. All Officials to wear Hi Viz Jackets/waistcoats.  Riders will be advised not to stop suddenly and to indicate to traffic they are pulling over. </w:t>
            </w:r>
          </w:p>
          <w:p w14:paraId="35912833" w14:textId="77777777" w:rsidR="00DA4080" w:rsidRDefault="00DA4080" w:rsidP="00DA408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0A853B12" w14:textId="77777777" w:rsidR="00125CF0" w:rsidRDefault="00125C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6"/>
          <w:szCs w:val="16"/>
        </w:rPr>
      </w:pPr>
    </w:p>
    <w:tbl>
      <w:tblPr>
        <w:tblStyle w:val="Table6"/>
        <w:tblW w:w="10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94"/>
      </w:tblGrid>
      <w:tr w:rsidR="00125CF0" w14:paraId="3EA79CF9" w14:textId="77777777">
        <w:tc>
          <w:tcPr>
            <w:tcW w:w="10194" w:type="dxa"/>
            <w:shd w:val="clear" w:color="auto" w:fill="auto"/>
          </w:tcPr>
          <w:p w14:paraId="3437D22B" w14:textId="77777777" w:rsidR="00125CF0" w:rsidRDefault="00125CF0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  <w:p w14:paraId="5C86910A" w14:textId="77777777" w:rsidR="00125CF0" w:rsidRDefault="0064044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small junctions or entrances to farms/ facilities that are not identified in this risk assessment have been considered, however are not considered significant to pose a risk and therefore have not been noted.    </w:t>
            </w:r>
          </w:p>
          <w:p w14:paraId="3177092C" w14:textId="77777777" w:rsidR="00125CF0" w:rsidRDefault="00125CF0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</w:tr>
    </w:tbl>
    <w:p w14:paraId="3F3DDAF1" w14:textId="77777777" w:rsidR="00125CF0" w:rsidRDefault="00125CF0">
      <w:pPr>
        <w:rPr>
          <w:rFonts w:ascii="Arial" w:eastAsia="Arial" w:hAnsi="Arial" w:cs="Arial"/>
          <w:color w:val="0000FF"/>
          <w:sz w:val="16"/>
          <w:szCs w:val="16"/>
        </w:rPr>
      </w:pPr>
    </w:p>
    <w:p w14:paraId="43052B43" w14:textId="77777777" w:rsidR="00125CF0" w:rsidRDefault="00125CF0">
      <w:pPr>
        <w:rPr>
          <w:rFonts w:ascii="Arial" w:eastAsia="Arial" w:hAnsi="Arial" w:cs="Arial"/>
          <w:b/>
        </w:rPr>
      </w:pPr>
    </w:p>
    <w:p w14:paraId="38598FC5" w14:textId="11C5E686" w:rsidR="00125CF0" w:rsidRDefault="00640448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Date of original </w:t>
      </w:r>
      <w:r>
        <w:rPr>
          <w:rFonts w:ascii="Arial" w:eastAsia="Arial" w:hAnsi="Arial" w:cs="Arial"/>
          <w:b/>
        </w:rPr>
        <w:t xml:space="preserve">assessment: </w:t>
      </w:r>
      <w:r w:rsidR="00DA4080">
        <w:rPr>
          <w:rFonts w:ascii="Arial" w:eastAsia="Arial" w:hAnsi="Arial" w:cs="Arial"/>
          <w:b/>
        </w:rPr>
        <w:t>10</w:t>
      </w:r>
      <w:r>
        <w:rPr>
          <w:rFonts w:ascii="Arial" w:eastAsia="Arial" w:hAnsi="Arial" w:cs="Arial"/>
          <w:b/>
        </w:rPr>
        <w:t>/0</w:t>
      </w:r>
      <w:r w:rsidR="00DA4080"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</w:rPr>
        <w:t>/202</w:t>
      </w:r>
      <w:r w:rsidR="00DA4080">
        <w:rPr>
          <w:rFonts w:ascii="Arial" w:eastAsia="Arial" w:hAnsi="Arial" w:cs="Arial"/>
          <w:b/>
        </w:rPr>
        <w:t>3</w:t>
      </w:r>
    </w:p>
    <w:p w14:paraId="5EED37A8" w14:textId="77777777" w:rsidR="00125CF0" w:rsidRDefault="00125CF0">
      <w:pPr>
        <w:rPr>
          <w:rFonts w:ascii="Arial" w:eastAsia="Arial" w:hAnsi="Arial" w:cs="Arial"/>
          <w:b/>
          <w:sz w:val="16"/>
          <w:szCs w:val="16"/>
        </w:rPr>
      </w:pPr>
    </w:p>
    <w:sectPr w:rsidR="00125CF0">
      <w:footerReference w:type="default" r:id="rId7"/>
      <w:pgSz w:w="11906" w:h="16838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F06CC" w14:textId="77777777" w:rsidR="00000000" w:rsidRDefault="00640448">
      <w:r>
        <w:separator/>
      </w:r>
    </w:p>
  </w:endnote>
  <w:endnote w:type="continuationSeparator" w:id="0">
    <w:p w14:paraId="35038DA5" w14:textId="77777777" w:rsidR="00000000" w:rsidRDefault="0064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9CB3" w14:textId="77777777" w:rsidR="00125CF0" w:rsidRDefault="00640448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6A335A" wp14:editId="4640C40F">
              <wp:simplePos x="0" y="0"/>
              <wp:positionH relativeFrom="column">
                <wp:posOffset>-317499</wp:posOffset>
              </wp:positionH>
              <wp:positionV relativeFrom="paragraph">
                <wp:posOffset>-7604</wp:posOffset>
              </wp:positionV>
              <wp:extent cx="7040880" cy="12700"/>
              <wp:effectExtent l="0" t="0" r="18" b="9524"/>
              <wp:wrapSquare wrapText="bothSides"/>
              <wp:docPr id="6" name="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4088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F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pict>
            <v:shape id="AC9DECDC-3AAA-5539-65C35AFF4545" coordsize="21600,21600" style="position:absolute;width:554.4pt;height:1pt;margin-top:-0.59874pt;margin-left:-24.9999pt;mso-wrap-distance-left:9pt;mso-wrap-distance-right:9pt;mso-wrap-distance-top:0pt;mso-wrap-distance-bottom:0pt;rotation:0.000000;z-index:0;" strokecolor="#0000ff" strokeweight="0.75pt" o:spt="32" o:oned="t" path="m0,0 l21600,21600 e">
              <v:stroke color="#0000ff" filltype="solid" joinstyle="round" linestyle="single" mitterlimit="800000" weight="0.75pt"/>
              <w10:wrap type="square" side="both"/>
              <o:lock/>
            </v:shape>
          </w:pict>
        </mc:Fallback>
      </mc:AlternateContent>
    </w:r>
  </w:p>
  <w:p w14:paraId="0F4C6ED3" w14:textId="77777777" w:rsidR="00125CF0" w:rsidRDefault="006404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al" w:eastAsia="Arial" w:hAnsi="Arial" w:cs="Arial"/>
        <w:color w:val="0000FF"/>
        <w:sz w:val="14"/>
        <w:szCs w:val="14"/>
      </w:rPr>
    </w:pPr>
    <w:r>
      <w:rPr>
        <w:rFonts w:ascii="Arial" w:eastAsia="Arial" w:hAnsi="Arial" w:cs="Arial"/>
        <w:color w:val="0000FF"/>
        <w:sz w:val="16"/>
        <w:szCs w:val="16"/>
      </w:rPr>
      <w:t>CYCLING TIME TRIALS IS A COMPANY LIMITED BY GUARANTEE REGISTERED IN ENGLAND No: 4413282</w:t>
    </w:r>
    <w:r>
      <w:rPr>
        <w:rFonts w:ascii="Arial" w:eastAsia="Arial" w:hAnsi="Arial" w:cs="Arial"/>
        <w:color w:val="0000FF"/>
        <w:sz w:val="16"/>
        <w:szCs w:val="16"/>
      </w:rPr>
      <w:br/>
    </w:r>
    <w:r>
      <w:rPr>
        <w:rFonts w:ascii="Arial" w:eastAsia="Arial" w:hAnsi="Arial" w:cs="Arial"/>
        <w:color w:val="0000FF"/>
        <w:sz w:val="14"/>
        <w:szCs w:val="14"/>
      </w:rPr>
      <w:t>Registered Address:</w:t>
    </w:r>
    <w:r>
      <w:rPr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FF"/>
        <w:sz w:val="14"/>
        <w:szCs w:val="14"/>
      </w:rPr>
      <w:t xml:space="preserve">C/O DJH Accountants Ltd, Porthill Lodge, High Street, </w:t>
    </w:r>
    <w:r>
      <w:rPr>
        <w:rFonts w:ascii="Arial" w:eastAsia="Arial" w:hAnsi="Arial" w:cs="Arial"/>
        <w:color w:val="0000FF"/>
        <w:sz w:val="14"/>
        <w:szCs w:val="14"/>
      </w:rPr>
      <w:t>Wolstanton, Newcastle under Lyme, Staffordshire, ST5 0EZ</w:t>
    </w:r>
    <w:r>
      <w:rPr>
        <w:noProof/>
      </w:rPr>
      <w:drawing>
        <wp:anchor distT="0" distB="0" distL="0" distR="0" simplePos="0" relativeHeight="503314432" behindDoc="1" locked="0" layoutInCell="1" allowOverlap="1" wp14:anchorId="3DAE4E6A" wp14:editId="6302FF9D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7" name="image3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80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03314431" behindDoc="1" locked="0" layoutInCell="1" allowOverlap="1" wp14:anchorId="05151257" wp14:editId="146D4117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image3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80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01D69" w14:textId="77777777" w:rsidR="00000000" w:rsidRDefault="00640448">
      <w:r>
        <w:separator/>
      </w:r>
    </w:p>
  </w:footnote>
  <w:footnote w:type="continuationSeparator" w:id="0">
    <w:p w14:paraId="2D51B239" w14:textId="77777777" w:rsidR="00000000" w:rsidRDefault="00640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CF0"/>
    <w:rsid w:val="00125CF0"/>
    <w:rsid w:val="001862B7"/>
    <w:rsid w:val="001C04C1"/>
    <w:rsid w:val="003073BF"/>
    <w:rsid w:val="00326310"/>
    <w:rsid w:val="00640448"/>
    <w:rsid w:val="00666483"/>
    <w:rsid w:val="0075301A"/>
    <w:rsid w:val="00AF3305"/>
    <w:rsid w:val="00DA4080"/>
    <w:rsid w:val="00F0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5C61D"/>
  <w15:docId w15:val="{B4451D71-90C4-4A25-BD48-62D68242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outlineLvl w:val="1"/>
    </w:pPr>
    <w:rPr>
      <w:rFonts w:ascii="Arial" w:eastAsia="Arial" w:hAnsi="Arial" w:cs="Arial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jc w:val="center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"/>
    <w:uiPriority w:val="9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2">
    <w:name w:val="Table2"/>
    <w:basedOn w:val="TableNormal"/>
    <w:uiPriority w:val="9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3">
    <w:name w:val="Table3"/>
    <w:basedOn w:val="TableNormal"/>
    <w:uiPriority w:val="9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4">
    <w:name w:val="Table4"/>
    <w:basedOn w:val="TableNormal"/>
    <w:uiPriority w:val="9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5">
    <w:name w:val="Table5"/>
    <w:basedOn w:val="TableNormal"/>
    <w:uiPriority w:val="9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6">
    <w:name w:val="Table6"/>
    <w:basedOn w:val="TableNormal"/>
    <w:uiPriority w:val="99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Moss</dc:creator>
  <cp:lastModifiedBy>Neil Moss</cp:lastModifiedBy>
  <cp:revision>6</cp:revision>
  <dcterms:created xsi:type="dcterms:W3CDTF">2023-07-10T16:17:00Z</dcterms:created>
  <dcterms:modified xsi:type="dcterms:W3CDTF">2023-07-10T17:21:00Z</dcterms:modified>
</cp:coreProperties>
</file>