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4833B" w14:textId="4ECEED8C" w:rsidR="00AD601A" w:rsidRDefault="00AD601A" w:rsidP="00AD601A">
      <w:pPr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HCC202a Course Description</w:t>
      </w:r>
    </w:p>
    <w:p w14:paraId="2F2E38F8" w14:textId="77777777" w:rsidR="00AD601A" w:rsidRDefault="00AD601A" w:rsidP="00AD601A">
      <w:pPr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14:paraId="0808B440" w14:textId="787B59BA" w:rsidR="00AD601A" w:rsidRPr="007F4636" w:rsidRDefault="00AD601A" w:rsidP="00AD601A">
      <w:pPr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7F4636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Course Description:</w:t>
      </w:r>
    </w:p>
    <w:p w14:paraId="50F7BC36" w14:textId="77777777" w:rsidR="00AD601A" w:rsidRPr="007F4636" w:rsidRDefault="00AD601A" w:rsidP="00AD601A">
      <w:pPr>
        <w:jc w:val="both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Start in the apex of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Longwick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layby at the eastern entrance, and approximately 127 yards before the Dept of Transport 30 mph de-restriction signs at the entrance to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Longwick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village. Proceed through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Longwick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village, over the pedestrian crossing to the “Sportsman” roundabout (M1) with the B4009 1.10 miles. Turn around the roundabout and take the 4th exit still on the A4129 and retrace through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Longwick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Village. </w:t>
      </w:r>
      <w:proofErr w:type="gram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Continue on</w:t>
      </w:r>
      <w:proofErr w:type="gram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the A4129 past the start point 2.2 miles. </w:t>
      </w:r>
      <w:proofErr w:type="gram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Continue on</w:t>
      </w:r>
      <w:proofErr w:type="gram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the A4129 through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Kingsey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village to the roundabout junction with the Thame ring road (A4129) and the B4012 (M2). 6.35 miles. Turn around the roundabout and take the 4th exit (ignoring a track into the Thame Show ground) to retrace on the A4129. Proceed via </w:t>
      </w:r>
      <w:proofErr w:type="spell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Kingsey</w:t>
      </w:r>
      <w:proofErr w:type="spell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 xml:space="preserve"> village to finish at a point by the grass verge 32 yards short of telegraph pole number DP651 which is on the opposite side of the A4129, and 32 yards after the Department of Transport ‘</w:t>
      </w:r>
      <w:proofErr w:type="gramStart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cross roads</w:t>
      </w:r>
      <w:proofErr w:type="gramEnd"/>
      <w:r w:rsidRPr="007F463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en-GB"/>
        </w:rPr>
        <w:t>’ signs positioned on both sides of the A4129. 10 miles.</w:t>
      </w:r>
    </w:p>
    <w:p w14:paraId="0324B4D3" w14:textId="77777777" w:rsidR="00AD601A" w:rsidRDefault="00AD601A"/>
    <w:sectPr w:rsidR="00AD6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A"/>
    <w:rsid w:val="00A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523594"/>
  <w15:chartTrackingRefBased/>
  <w15:docId w15:val="{D5D1A1B1-620D-6C44-B43A-B8452AC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2021-06-28T09:10:00Z</dcterms:created>
  <dcterms:modified xsi:type="dcterms:W3CDTF">2021-06-28T09:11:00Z</dcterms:modified>
</cp:coreProperties>
</file>